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  <w:shd w:val="clear" w:color="auto" w:fill="FFFFFF"/>
        </w:rPr>
      </w:pPr>
      <w:r>
        <w:rPr>
          <w:rFonts w:eastAsia="方正小标宋简体"/>
          <w:sz w:val="36"/>
          <w:szCs w:val="36"/>
          <w:shd w:val="clear" w:color="auto" w:fill="FFFFFF"/>
        </w:rPr>
        <w:t>2024</w:t>
      </w:r>
      <w:r>
        <w:rPr>
          <w:rFonts w:hAnsi="方正小标宋简体" w:eastAsia="方正小标宋简体"/>
          <w:sz w:val="36"/>
          <w:szCs w:val="36"/>
          <w:shd w:val="clear" w:color="auto" w:fill="FFFFFF"/>
        </w:rPr>
        <w:t>年软科学研究类项目申报选题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  <w:shd w:val="clear" w:color="auto" w:fill="FFFFFF"/>
        </w:rPr>
      </w:pPr>
    </w:p>
    <w:p>
      <w:pPr>
        <w:spacing w:line="600" w:lineRule="exact"/>
        <w:ind w:firstLine="634" w:firstLineChars="200"/>
        <w:rPr>
          <w:rFonts w:eastAsia="黑体"/>
          <w:sz w:val="32"/>
          <w:shd w:val="clear" w:color="auto" w:fill="FFFFFF"/>
        </w:rPr>
      </w:pPr>
      <w:r>
        <w:rPr>
          <w:rFonts w:eastAsia="黑体"/>
          <w:sz w:val="32"/>
          <w:shd w:val="clear" w:color="auto" w:fill="FFFFFF"/>
        </w:rPr>
        <w:t>一、住房和房地产业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  <w:lang w:val="en-US" w:eastAsia="zh-CN"/>
        </w:rPr>
        <w:t>1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房地产行业数字化发展和评价机制研究</w:t>
      </w:r>
    </w:p>
    <w:p>
      <w:pPr>
        <w:spacing w:line="600" w:lineRule="exact"/>
        <w:ind w:firstLine="634" w:firstLineChars="200"/>
        <w:rPr>
          <w:rFonts w:hint="eastAsia" w:hAnsi="仿宋_GB2312" w:eastAsia="仿宋_GB2312"/>
          <w:sz w:val="32"/>
          <w:shd w:val="clear" w:color="auto" w:fill="FFFFFF"/>
          <w:lang w:val="en-US" w:eastAsia="zh-CN"/>
        </w:rPr>
      </w:pPr>
      <w:r>
        <w:rPr>
          <w:rFonts w:hint="eastAsia" w:hAnsi="仿宋_GB2312" w:eastAsia="仿宋_GB2312"/>
          <w:sz w:val="32"/>
          <w:shd w:val="clear" w:color="auto" w:fill="FFFFFF"/>
          <w:lang w:val="en-US" w:eastAsia="zh-CN"/>
        </w:rPr>
        <w:t>2.</w:t>
      </w:r>
      <w:r>
        <w:rPr>
          <w:rFonts w:hint="eastAsia" w:eastAsia="仿宋_GB2312"/>
          <w:sz w:val="32"/>
          <w:shd w:val="clear" w:color="auto" w:fill="FFFFFF"/>
          <w:lang w:eastAsia="zh-CN"/>
        </w:rPr>
        <w:t>“</w:t>
      </w:r>
      <w:r>
        <w:rPr>
          <w:rFonts w:hAnsi="仿宋_GB2312" w:eastAsia="仿宋_GB2312"/>
          <w:sz w:val="32"/>
          <w:shd w:val="clear" w:color="auto" w:fill="FFFFFF"/>
        </w:rPr>
        <w:t>问题楼盘</w:t>
      </w:r>
      <w:r>
        <w:rPr>
          <w:rFonts w:hint="eastAsia" w:eastAsia="仿宋_GB2312"/>
          <w:sz w:val="32"/>
          <w:shd w:val="clear" w:color="auto" w:fill="FFFFFF"/>
          <w:lang w:eastAsia="zh-CN"/>
        </w:rPr>
        <w:t>”</w:t>
      </w:r>
      <w:r>
        <w:rPr>
          <w:rFonts w:hAnsi="仿宋_GB2312" w:eastAsia="仿宋_GB2312"/>
          <w:sz w:val="32"/>
          <w:shd w:val="clear" w:color="auto" w:fill="FFFFFF"/>
        </w:rPr>
        <w:t>防范和化解机制研究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hAnsi="仿宋_GB2312" w:eastAsia="仿宋_GB2312"/>
          <w:sz w:val="32"/>
          <w:shd w:val="clear" w:color="auto" w:fill="FFFFFF"/>
          <w:lang w:val="en-US" w:eastAsia="zh-CN"/>
        </w:rPr>
        <w:t>3.</w:t>
      </w:r>
      <w:r>
        <w:rPr>
          <w:rFonts w:hAnsi="仿宋_GB2312" w:eastAsia="仿宋_GB2312"/>
          <w:sz w:val="32"/>
          <w:shd w:val="clear" w:color="auto" w:fill="FFFFFF"/>
        </w:rPr>
        <w:t>保障性租赁住房</w:t>
      </w:r>
      <w:r>
        <w:rPr>
          <w:rFonts w:eastAsia="仿宋_GB2312"/>
          <w:sz w:val="32"/>
          <w:shd w:val="clear" w:color="auto" w:fill="FFFFFF"/>
        </w:rPr>
        <w:t>REITs</w:t>
      </w:r>
      <w:r>
        <w:rPr>
          <w:rFonts w:hAnsi="仿宋_GB2312" w:eastAsia="仿宋_GB2312"/>
          <w:sz w:val="32"/>
          <w:shd w:val="clear" w:color="auto" w:fill="FFFFFF"/>
        </w:rPr>
        <w:t>研究</w:t>
      </w:r>
    </w:p>
    <w:p>
      <w:pPr>
        <w:spacing w:line="600" w:lineRule="exact"/>
        <w:ind w:firstLine="634" w:firstLineChars="200"/>
        <w:rPr>
          <w:rFonts w:hAnsi="仿宋_GB2312"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  <w:lang w:val="en-US" w:eastAsia="zh-CN"/>
        </w:rPr>
        <w:t>4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公租房运营管理服务水平提升研究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  <w:lang w:val="en-US" w:eastAsia="zh-CN"/>
        </w:rPr>
        <w:t>5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住房公积金风险防控体系建设研究</w:t>
      </w:r>
    </w:p>
    <w:p>
      <w:pPr>
        <w:spacing w:line="600" w:lineRule="exact"/>
        <w:ind w:firstLine="634" w:firstLineChars="200"/>
        <w:rPr>
          <w:rFonts w:hAnsi="仿宋_GB2312"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  <w:lang w:val="en-US" w:eastAsia="zh-CN"/>
        </w:rPr>
        <w:t>6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灵活就业人员缴存住房公积金业务系统建设方案研究</w:t>
      </w:r>
    </w:p>
    <w:p>
      <w:pPr>
        <w:spacing w:line="600" w:lineRule="exact"/>
        <w:ind w:firstLine="634" w:firstLineChars="200"/>
        <w:rPr>
          <w:rFonts w:eastAsia="黑体"/>
          <w:sz w:val="32"/>
          <w:shd w:val="clear" w:color="auto" w:fill="FFFFFF"/>
        </w:rPr>
      </w:pPr>
      <w:r>
        <w:rPr>
          <w:rFonts w:eastAsia="黑体"/>
          <w:sz w:val="32"/>
          <w:shd w:val="clear" w:color="auto" w:fill="FFFFFF"/>
        </w:rPr>
        <w:t>二、绿色低碳发展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1.</w:t>
      </w:r>
      <w:r>
        <w:rPr>
          <w:rFonts w:hAnsi="仿宋_GB2312" w:eastAsia="仿宋_GB2312"/>
          <w:sz w:val="32"/>
          <w:shd w:val="clear" w:color="auto" w:fill="FFFFFF"/>
        </w:rPr>
        <w:t>城市生态系统固碳减排效能与生态功能评价及系统提升策略研究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2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低碳建筑增量成本分析研究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3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建筑工程碳排放量与工程造价协同估算机制研究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4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城乡建设领域碳达峰理论、方法学与路径研究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5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建筑领域推进电气化的路线图设计研究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6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绿色低碳建材在建筑领域应用研究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7</w:t>
      </w:r>
      <w:r>
        <w:rPr>
          <w:rFonts w:eastAsia="仿宋_GB2312"/>
          <w:sz w:val="32"/>
          <w:shd w:val="clear" w:color="auto" w:fill="FFFFFF"/>
        </w:rPr>
        <w:t>.双碳背景下科技创新推动城乡建设事业高质量发展研究</w:t>
      </w:r>
    </w:p>
    <w:p>
      <w:pPr>
        <w:spacing w:line="600" w:lineRule="exact"/>
        <w:ind w:firstLine="634" w:firstLineChars="200"/>
        <w:rPr>
          <w:rFonts w:eastAsia="黑体"/>
          <w:sz w:val="32"/>
          <w:shd w:val="clear" w:color="auto" w:fill="FFFFFF"/>
        </w:rPr>
      </w:pPr>
      <w:r>
        <w:rPr>
          <w:rFonts w:eastAsia="黑体"/>
          <w:sz w:val="32"/>
          <w:shd w:val="clear" w:color="auto" w:fill="FFFFFF"/>
        </w:rPr>
        <w:t>三、城市更新和品质提升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1.</w:t>
      </w:r>
      <w:r>
        <w:rPr>
          <w:rFonts w:hAnsi="仿宋_GB2312" w:eastAsia="仿宋_GB2312"/>
          <w:sz w:val="32"/>
          <w:shd w:val="clear" w:color="auto" w:fill="FFFFFF"/>
        </w:rPr>
        <w:t>城市体检评估综合评价标准研究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2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建筑设计水平提升机制研究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3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城市更新中的建设工程消防安全隐患分类分级和处置对策研究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4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城市更新相关技术体系研究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5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社会资本参与城市更新的实施路径与支持性政策研究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6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城市更新背景下重大项目规建管协同路径研究</w:t>
      </w:r>
    </w:p>
    <w:p>
      <w:pPr>
        <w:spacing w:line="600" w:lineRule="exact"/>
        <w:ind w:firstLine="634" w:firstLineChars="200"/>
        <w:rPr>
          <w:rFonts w:eastAsia="黑体"/>
          <w:sz w:val="32"/>
          <w:shd w:val="clear" w:color="auto" w:fill="FFFFFF"/>
        </w:rPr>
      </w:pPr>
      <w:r>
        <w:rPr>
          <w:rFonts w:hAnsi="黑体" w:eastAsia="黑体"/>
          <w:sz w:val="32"/>
          <w:shd w:val="clear" w:color="auto" w:fill="FFFFFF"/>
        </w:rPr>
        <w:t>四、城乡历史文化保护与传承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1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历史地段保护更新方法研究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2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城乡历史文化保护传承体系第三方评估指标、标准与机制研究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3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传统民居现代化研究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4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传统建筑的基础性研究</w:t>
      </w:r>
    </w:p>
    <w:p>
      <w:pPr>
        <w:spacing w:line="600" w:lineRule="exact"/>
        <w:ind w:firstLine="634" w:firstLineChars="200"/>
        <w:rPr>
          <w:rFonts w:eastAsia="黑体"/>
          <w:sz w:val="32"/>
          <w:shd w:val="clear" w:color="auto" w:fill="FFFFFF"/>
        </w:rPr>
      </w:pPr>
      <w:r>
        <w:rPr>
          <w:rFonts w:hAnsi="黑体" w:eastAsia="黑体"/>
          <w:sz w:val="32"/>
          <w:shd w:val="clear" w:color="auto" w:fill="FFFFFF"/>
        </w:rPr>
        <w:t>五、智能建造和新型建筑工业化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1.</w:t>
      </w:r>
      <w:r>
        <w:rPr>
          <w:rFonts w:hAnsi="仿宋_GB2312" w:eastAsia="仿宋_GB2312"/>
          <w:sz w:val="32"/>
          <w:shd w:val="clear" w:color="auto" w:fill="FFFFFF"/>
        </w:rPr>
        <w:t>绿色建造评价体系研究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2.</w:t>
      </w:r>
      <w:r>
        <w:rPr>
          <w:rFonts w:hAnsi="仿宋_GB2312" w:eastAsia="仿宋_GB2312"/>
          <w:sz w:val="32"/>
          <w:shd w:val="clear" w:color="auto" w:fill="FFFFFF"/>
        </w:rPr>
        <w:t>工程勘察设计行业智能化发展研究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3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工程质量检测领域信息化监管应用研究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4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建筑施工特种作业人员安全监管机制创新研究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5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工程建设项目智能化辅助审查方法研究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6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住宅工程质量保修期延长可行性研究</w:t>
      </w:r>
    </w:p>
    <w:p>
      <w:pPr>
        <w:spacing w:line="600" w:lineRule="exact"/>
        <w:ind w:firstLine="634" w:firstLineChars="200"/>
        <w:rPr>
          <w:rFonts w:eastAsia="黑体"/>
          <w:sz w:val="32"/>
          <w:shd w:val="clear" w:color="auto" w:fill="FFFFFF"/>
        </w:rPr>
      </w:pPr>
      <w:r>
        <w:rPr>
          <w:rFonts w:hAnsi="黑体" w:eastAsia="黑体"/>
          <w:sz w:val="32"/>
          <w:shd w:val="clear" w:color="auto" w:fill="FFFFFF"/>
        </w:rPr>
        <w:t>六、完整居住社区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1.</w:t>
      </w:r>
      <w:r>
        <w:rPr>
          <w:rFonts w:hAnsi="仿宋_GB2312" w:eastAsia="仿宋_GB2312"/>
          <w:sz w:val="32"/>
          <w:shd w:val="clear" w:color="auto" w:fill="FFFFFF"/>
        </w:rPr>
        <w:t>城乡适老化建设</w:t>
      </w:r>
      <w:r>
        <w:rPr>
          <w:rFonts w:hint="eastAsia" w:hAnsi="仿宋_GB2312" w:eastAsia="仿宋_GB2312"/>
          <w:sz w:val="32"/>
          <w:shd w:val="clear" w:color="auto" w:fill="FFFFFF"/>
        </w:rPr>
        <w:t>及</w:t>
      </w:r>
      <w:r>
        <w:rPr>
          <w:rFonts w:hAnsi="仿宋_GB2312" w:eastAsia="仿宋_GB2312"/>
          <w:sz w:val="32"/>
          <w:shd w:val="clear" w:color="auto" w:fill="FFFFFF"/>
        </w:rPr>
        <w:t>改造技术标准研究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2.</w:t>
      </w:r>
      <w:r>
        <w:rPr>
          <w:rFonts w:hAnsi="仿宋_GB2312" w:eastAsia="仿宋_GB2312"/>
          <w:sz w:val="32"/>
          <w:shd w:val="clear" w:color="auto" w:fill="FFFFFF"/>
        </w:rPr>
        <w:t>活力街区建设研究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3.</w:t>
      </w:r>
      <w:r>
        <w:rPr>
          <w:rFonts w:hAnsi="仿宋_GB2312" w:eastAsia="仿宋_GB2312"/>
          <w:sz w:val="32"/>
          <w:shd w:val="clear" w:color="auto" w:fill="FFFFFF"/>
        </w:rPr>
        <w:t>完整社区建设的部门协作与居民参与机制研究</w:t>
      </w:r>
    </w:p>
    <w:p>
      <w:pPr>
        <w:spacing w:line="600" w:lineRule="exact"/>
        <w:ind w:firstLine="634" w:firstLineChars="200"/>
        <w:rPr>
          <w:rFonts w:eastAsia="黑体"/>
          <w:sz w:val="32"/>
          <w:shd w:val="clear" w:color="auto" w:fill="FFFFFF"/>
        </w:rPr>
      </w:pPr>
      <w:r>
        <w:rPr>
          <w:rFonts w:hAnsi="黑体" w:eastAsia="黑体"/>
          <w:sz w:val="32"/>
          <w:shd w:val="clear" w:color="auto" w:fill="FFFFFF"/>
        </w:rPr>
        <w:t>七、新型城市基础设施建设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1.</w:t>
      </w:r>
      <w:r>
        <w:rPr>
          <w:rFonts w:hint="eastAsia" w:eastAsia="仿宋_GB2312"/>
          <w:sz w:val="32"/>
          <w:shd w:val="clear" w:color="auto" w:fill="FFFFFF"/>
          <w:lang w:eastAsia="zh-CN"/>
        </w:rPr>
        <w:t>“</w:t>
      </w:r>
      <w:r>
        <w:rPr>
          <w:rFonts w:hAnsi="仿宋_GB2312" w:eastAsia="仿宋_GB2312"/>
          <w:sz w:val="32"/>
          <w:shd w:val="clear" w:color="auto" w:fill="FFFFFF"/>
        </w:rPr>
        <w:t>新城建</w:t>
      </w:r>
      <w:r>
        <w:rPr>
          <w:rFonts w:hint="eastAsia" w:eastAsia="仿宋_GB2312"/>
          <w:sz w:val="32"/>
          <w:shd w:val="clear" w:color="auto" w:fill="FFFFFF"/>
          <w:lang w:eastAsia="zh-CN"/>
        </w:rPr>
        <w:t>”</w:t>
      </w:r>
      <w:r>
        <w:rPr>
          <w:rFonts w:hAnsi="仿宋_GB2312" w:eastAsia="仿宋_GB2312"/>
          <w:sz w:val="32"/>
          <w:shd w:val="clear" w:color="auto" w:fill="FFFFFF"/>
        </w:rPr>
        <w:t>可复制的机制模式总结及经济测算研究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2.</w:t>
      </w:r>
      <w:r>
        <w:rPr>
          <w:rFonts w:hAnsi="仿宋_GB2312" w:eastAsia="仿宋_GB2312"/>
          <w:sz w:val="32"/>
          <w:shd w:val="clear" w:color="auto" w:fill="FFFFFF"/>
        </w:rPr>
        <w:t>市政基础设施节能低碳路径研究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3.</w:t>
      </w:r>
      <w:r>
        <w:rPr>
          <w:rFonts w:hAnsi="仿宋_GB2312" w:eastAsia="仿宋_GB2312"/>
          <w:sz w:val="32"/>
          <w:shd w:val="clear" w:color="auto" w:fill="FFFFFF"/>
        </w:rPr>
        <w:t>城市信息模型（</w:t>
      </w:r>
      <w:r>
        <w:rPr>
          <w:rFonts w:eastAsia="仿宋_GB2312"/>
          <w:sz w:val="32"/>
          <w:shd w:val="clear" w:color="auto" w:fill="FFFFFF"/>
        </w:rPr>
        <w:t>CIM</w:t>
      </w:r>
      <w:r>
        <w:rPr>
          <w:rFonts w:hAnsi="仿宋_GB2312" w:eastAsia="仿宋_GB2312"/>
          <w:sz w:val="32"/>
          <w:shd w:val="clear" w:color="auto" w:fill="FFFFFF"/>
        </w:rPr>
        <w:t>）基础平台建设评估方法研究</w:t>
      </w:r>
    </w:p>
    <w:p>
      <w:pPr>
        <w:spacing w:line="600" w:lineRule="exact"/>
        <w:ind w:firstLine="634" w:firstLineChars="200"/>
        <w:rPr>
          <w:rFonts w:eastAsia="黑体"/>
          <w:sz w:val="32"/>
          <w:shd w:val="clear" w:color="auto" w:fill="FFFFFF"/>
        </w:rPr>
      </w:pPr>
      <w:r>
        <w:rPr>
          <w:rFonts w:hAnsi="黑体" w:eastAsia="黑体"/>
          <w:sz w:val="32"/>
          <w:shd w:val="clear" w:color="auto" w:fill="FFFFFF"/>
        </w:rPr>
        <w:t>八、县镇和美丽乡村建设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</w:rPr>
        <w:t>1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村镇建设技术标准体系研究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  <w:lang w:val="en-US" w:eastAsia="zh-CN"/>
        </w:rPr>
        <w:t>2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乡村风貌保护提升技术导则研究</w:t>
      </w:r>
    </w:p>
    <w:p>
      <w:pPr>
        <w:spacing w:line="600" w:lineRule="exact"/>
        <w:ind w:firstLine="634" w:firstLineChars="200"/>
        <w:rPr>
          <w:rFonts w:eastAsia="仿宋_GB2312"/>
          <w:sz w:val="32"/>
          <w:shd w:val="clear" w:color="auto" w:fill="FFFFFF"/>
        </w:rPr>
      </w:pPr>
      <w:r>
        <w:rPr>
          <w:rFonts w:hint="eastAsia" w:eastAsia="仿宋_GB2312"/>
          <w:sz w:val="32"/>
          <w:shd w:val="clear" w:color="auto" w:fill="FFFFFF"/>
          <w:lang w:val="en-US" w:eastAsia="zh-CN"/>
        </w:rPr>
        <w:t>3</w:t>
      </w:r>
      <w:r>
        <w:rPr>
          <w:rFonts w:eastAsia="仿宋_GB2312"/>
          <w:sz w:val="32"/>
          <w:shd w:val="clear" w:color="auto" w:fill="FFFFFF"/>
        </w:rPr>
        <w:t>.</w:t>
      </w:r>
      <w:r>
        <w:rPr>
          <w:rFonts w:hAnsi="仿宋_GB2312" w:eastAsia="仿宋_GB2312"/>
          <w:sz w:val="32"/>
          <w:shd w:val="clear" w:color="auto" w:fill="FFFFFF"/>
        </w:rPr>
        <w:t>新发展格局下城乡循环的路径优化与政策创新研究</w:t>
      </w:r>
    </w:p>
    <w:p>
      <w:pPr>
        <w:spacing w:line="600" w:lineRule="exact"/>
        <w:jc w:val="left"/>
        <w:rPr>
          <w:rFonts w:eastAsia="仿宋_GB2312"/>
          <w:sz w:val="32"/>
          <w:shd w:val="clear" w:color="auto" w:fill="FFFFFF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74" w:left="1531" w:header="851" w:footer="964" w:gutter="0"/>
      <w:cols w:space="720" w:num="1"/>
      <w:docGrid w:type="linesAndChars" w:linePitch="621" w:charSpace="-6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 w:cs="宋体"/>
        <w:sz w:val="28"/>
      </w:rPr>
    </w:pPr>
    <w:r>
      <w:rPr>
        <w:rFonts w:hint="eastAsia" w:ascii="宋体" w:hAnsi="宋体" w:cs="宋体"/>
        <w:kern w:val="0"/>
        <w:sz w:val="28"/>
        <w:szCs w:val="21"/>
      </w:rPr>
      <w:t xml:space="preserve">- </w:t>
    </w:r>
    <w:r>
      <w:rPr>
        <w:rFonts w:hint="eastAsia" w:ascii="宋体" w:hAnsi="宋体" w:cs="宋体"/>
        <w:kern w:val="0"/>
        <w:sz w:val="28"/>
        <w:szCs w:val="21"/>
      </w:rPr>
      <w:fldChar w:fldCharType="begin"/>
    </w:r>
    <w:r>
      <w:rPr>
        <w:rFonts w:hint="eastAsia" w:ascii="宋体" w:hAnsi="宋体" w:cs="宋体"/>
        <w:kern w:val="0"/>
        <w:sz w:val="28"/>
        <w:szCs w:val="21"/>
      </w:rPr>
      <w:instrText xml:space="preserve"> PAGE </w:instrText>
    </w:r>
    <w:r>
      <w:rPr>
        <w:rFonts w:hint="eastAsia" w:ascii="宋体" w:hAnsi="宋体" w:cs="宋体"/>
        <w:kern w:val="0"/>
        <w:sz w:val="28"/>
        <w:szCs w:val="21"/>
      </w:rPr>
      <w:fldChar w:fldCharType="separate"/>
    </w:r>
    <w:r>
      <w:rPr>
        <w:rFonts w:ascii="宋体" w:hAnsi="宋体" w:cs="宋体"/>
        <w:kern w:val="0"/>
        <w:sz w:val="28"/>
        <w:szCs w:val="21"/>
      </w:rPr>
      <w:t>1</w:t>
    </w:r>
    <w:r>
      <w:rPr>
        <w:rFonts w:hint="eastAsia" w:ascii="宋体" w:hAnsi="宋体" w:cs="宋体"/>
        <w:kern w:val="0"/>
        <w:sz w:val="28"/>
        <w:szCs w:val="21"/>
      </w:rPr>
      <w:fldChar w:fldCharType="end"/>
    </w:r>
    <w:r>
      <w:rPr>
        <w:rFonts w:hint="eastAsia" w:ascii="宋体" w:hAnsi="宋体" w:cs="宋体"/>
        <w:kern w:val="0"/>
        <w:sz w:val="28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cs="宋体"/>
        <w:sz w:val="28"/>
      </w:rPr>
    </w:pPr>
    <w:r>
      <w:rPr>
        <w:rFonts w:hint="eastAsia" w:ascii="宋体" w:hAnsi="宋体" w:cs="宋体"/>
        <w:kern w:val="0"/>
        <w:sz w:val="28"/>
        <w:szCs w:val="21"/>
      </w:rPr>
      <w:t xml:space="preserve">- </w:t>
    </w:r>
    <w:r>
      <w:rPr>
        <w:rFonts w:hint="eastAsia" w:ascii="宋体" w:hAnsi="宋体" w:cs="宋体"/>
        <w:kern w:val="0"/>
        <w:sz w:val="28"/>
        <w:szCs w:val="21"/>
      </w:rPr>
      <w:fldChar w:fldCharType="begin"/>
    </w:r>
    <w:r>
      <w:rPr>
        <w:rFonts w:hint="eastAsia" w:ascii="宋体" w:hAnsi="宋体" w:cs="宋体"/>
        <w:kern w:val="0"/>
        <w:sz w:val="28"/>
        <w:szCs w:val="21"/>
      </w:rPr>
      <w:instrText xml:space="preserve"> PAGE </w:instrText>
    </w:r>
    <w:r>
      <w:rPr>
        <w:rFonts w:hint="eastAsia" w:ascii="宋体" w:hAnsi="宋体" w:cs="宋体"/>
        <w:kern w:val="0"/>
        <w:sz w:val="28"/>
        <w:szCs w:val="21"/>
      </w:rPr>
      <w:fldChar w:fldCharType="separate"/>
    </w:r>
    <w:r>
      <w:rPr>
        <w:rFonts w:ascii="宋体" w:hAnsi="宋体" w:cs="宋体"/>
        <w:kern w:val="0"/>
        <w:sz w:val="28"/>
        <w:szCs w:val="21"/>
      </w:rPr>
      <w:t>2</w:t>
    </w:r>
    <w:r>
      <w:rPr>
        <w:rFonts w:hint="eastAsia" w:ascii="宋体" w:hAnsi="宋体" w:cs="宋体"/>
        <w:kern w:val="0"/>
        <w:sz w:val="28"/>
        <w:szCs w:val="21"/>
      </w:rPr>
      <w:fldChar w:fldCharType="end"/>
    </w:r>
    <w:r>
      <w:rPr>
        <w:rFonts w:hint="eastAsia" w:ascii="宋体" w:hAnsi="宋体" w:cs="宋体"/>
        <w:kern w:val="0"/>
        <w:sz w:val="28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NDYwOTgyMWIxYzdhNThkN2RjN2ZiNGUwYTU2N2UifQ=="/>
  </w:docVars>
  <w:rsids>
    <w:rsidRoot w:val="2B945E75"/>
    <w:rsid w:val="2B94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 w:line="353" w:lineRule="auto"/>
      <w:ind w:firstLine="576" w:firstLineChars="200"/>
    </w:pPr>
    <w:rPr>
      <w:rFonts w:ascii="Calibri" w:hAnsi="Calibri" w:eastAsia="仿宋_GB2312"/>
      <w:sz w:val="32"/>
      <w:szCs w:val="32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2024-06-11T02:10:00Z</dcterms:created>
  <dc:creator>疯狂的石頭</dc:creator>
  <cp:lastModifiedBy>疯狂的石頭</cp:lastModifiedBy>
  <dcterms:modified xsi:type="dcterms:W3CDTF">2024-06-11T02:11:05Z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C3CB25D699CC4DE19C44370D54F8DF53_11</vt:lpwstr>
  </property>
</Properties>
</file>