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outlineLvl w:val="2"/>
        <w:rPr>
          <w:rFonts w:ascii="黑体" w:hAnsi="黑体" w:eastAsia="黑体" w:cs="黑体"/>
          <w:spacing w:val="-4"/>
          <w:sz w:val="32"/>
          <w:szCs w:val="32"/>
        </w:rPr>
      </w:pPr>
      <w:bookmarkStart w:id="0" w:name="_Toc28467"/>
      <w:r>
        <w:rPr>
          <w:rFonts w:hint="eastAsia" w:ascii="黑体" w:hAnsi="黑体" w:eastAsia="黑体" w:cs="黑体"/>
          <w:spacing w:val="-4"/>
          <w:sz w:val="32"/>
          <w:szCs w:val="32"/>
        </w:rPr>
        <w:t>附件</w:t>
      </w:r>
      <w:r>
        <w:rPr>
          <w:rFonts w:ascii="黑体" w:hAnsi="黑体" w:eastAsia="黑体" w:cs="黑体"/>
          <w:spacing w:val="-4"/>
          <w:sz w:val="32"/>
          <w:szCs w:val="32"/>
        </w:rPr>
        <w:t>9</w:t>
      </w:r>
      <w:bookmarkEnd w:id="0"/>
    </w:p>
    <w:p>
      <w:pPr>
        <w:keepNext w:val="0"/>
        <w:keepLines w:val="0"/>
        <w:pageBreakBefore w:val="0"/>
        <w:widowControl w:val="0"/>
        <w:kinsoku/>
        <w:wordWrap/>
        <w:overflowPunct/>
        <w:topLinePunct w:val="0"/>
        <w:autoSpaceDE/>
        <w:autoSpaceDN/>
        <w:bidi w:val="0"/>
        <w:adjustRightInd w:val="0"/>
        <w:snapToGrid/>
        <w:ind w:right="0"/>
        <w:jc w:val="center"/>
        <w:textAlignment w:val="auto"/>
        <w:rPr>
          <w:rFonts w:hint="eastAsia" w:ascii="方正小标宋简体" w:hAnsi="方正小标宋简体" w:eastAsia="方正小标宋简体" w:cs="方正小标宋简体"/>
          <w:snapToGrid w:val="0"/>
          <w:spacing w:val="0"/>
          <w:kern w:val="0"/>
          <w:sz w:val="36"/>
          <w:szCs w:val="36"/>
        </w:rPr>
      </w:pPr>
      <w:r>
        <w:rPr>
          <w:rFonts w:hint="eastAsia" w:ascii="方正小标宋简体" w:hAnsi="方正小标宋简体" w:eastAsia="方正小标宋简体" w:cs="方正小标宋简体"/>
          <w:snapToGrid w:val="0"/>
          <w:spacing w:val="0"/>
          <w:kern w:val="0"/>
          <w:sz w:val="36"/>
          <w:szCs w:val="36"/>
        </w:rPr>
        <w:t>中国建筑工程装饰奖工程复查实施细则</w:t>
      </w:r>
    </w:p>
    <w:p>
      <w:pPr>
        <w:snapToGrid w:val="0"/>
        <w:spacing w:line="360" w:lineRule="auto"/>
        <w:jc w:val="center"/>
        <w:rPr>
          <w:rFonts w:ascii="宋体" w:hAnsi="宋体"/>
          <w:spacing w:val="-4"/>
          <w:sz w:val="30"/>
          <w:szCs w:val="30"/>
        </w:rPr>
      </w:pPr>
      <w:r>
        <w:rPr>
          <w:rFonts w:hint="eastAsia" w:ascii="宋体" w:hAnsi="宋体"/>
          <w:spacing w:val="-4"/>
          <w:sz w:val="30"/>
          <w:szCs w:val="30"/>
        </w:rPr>
        <w:t>建筑幕墙类（灯光演视工程）</w:t>
      </w:r>
    </w:p>
    <w:p>
      <w:pPr>
        <w:numPr>
          <w:ilvl w:val="0"/>
          <w:numId w:val="1"/>
        </w:numPr>
        <w:adjustRightInd w:val="0"/>
        <w:snapToGrid w:val="0"/>
        <w:spacing w:line="360" w:lineRule="auto"/>
        <w:ind w:firstLine="480" w:firstLineChars="200"/>
        <w:outlineLvl w:val="1"/>
        <w:rPr>
          <w:rFonts w:hint="eastAsia" w:eastAsia="黑体"/>
          <w:bCs/>
          <w:sz w:val="24"/>
        </w:rPr>
      </w:pPr>
      <w:bookmarkStart w:id="1" w:name="_Toc15657"/>
      <w:r>
        <w:rPr>
          <w:rFonts w:hint="eastAsia" w:eastAsia="黑体"/>
          <w:bCs/>
          <w:sz w:val="24"/>
        </w:rPr>
        <w:t>评分标准及要求：</w:t>
      </w:r>
      <w:bookmarkEnd w:id="1"/>
    </w:p>
    <w:p>
      <w:pPr>
        <w:adjustRightInd w:val="0"/>
        <w:snapToGrid w:val="0"/>
        <w:spacing w:line="360" w:lineRule="auto"/>
        <w:ind w:firstLine="480" w:firstLineChars="200"/>
        <w:rPr>
          <w:sz w:val="24"/>
        </w:rPr>
      </w:pPr>
      <w:r>
        <w:rPr>
          <w:rFonts w:hint="eastAsia"/>
          <w:sz w:val="24"/>
        </w:rPr>
        <w:t>灯光演视工程（不含并列承建）合同金额或结算金额不低于600万元人民币且面积不低于2000㎡（不含市政照明工程）。</w:t>
      </w:r>
    </w:p>
    <w:p>
      <w:pPr>
        <w:adjustRightInd w:val="0"/>
        <w:snapToGrid w:val="0"/>
        <w:spacing w:line="360" w:lineRule="auto"/>
        <w:ind w:firstLine="480" w:firstLineChars="200"/>
        <w:rPr>
          <w:sz w:val="24"/>
        </w:rPr>
      </w:pPr>
      <w:r>
        <w:rPr>
          <w:rFonts w:hint="eastAsia"/>
          <w:sz w:val="24"/>
        </w:rPr>
        <w:t>鉴于复查项目的工程性质、类别、规模、使用的材料、采用的工艺等各方面差别较大，故复查工程的评分采用扣分法，本细则重点列出了在资料、计算书、图纸、工程实体、新技术、总体印象等几个方面的常见问题、质量通病和涉及安全与使用的问题，结合复查中查出的问题进行评分。项目复查总分为100分，建议推荐得分在80分以上的项目，详细分项和评分标准见《工程复查实施细则——</w:t>
      </w:r>
      <w:r>
        <w:rPr>
          <w:rFonts w:hint="eastAsia" w:ascii="宋体" w:hAnsi="宋体"/>
          <w:spacing w:val="-4"/>
          <w:sz w:val="24"/>
        </w:rPr>
        <w:t>建筑幕墙类</w:t>
      </w:r>
      <w:r>
        <w:rPr>
          <w:rFonts w:hint="eastAsia"/>
          <w:sz w:val="24"/>
        </w:rPr>
        <w:t>（灯光演视工程）》。灯光演视类实体复查应分为日景与夜景两部分进行，日景复查灯具、线缆安装等情况；夜景复查灯光动态效果、眩光等情况。</w:t>
      </w:r>
    </w:p>
    <w:p>
      <w:pPr>
        <w:adjustRightInd w:val="0"/>
        <w:snapToGrid w:val="0"/>
        <w:spacing w:line="360" w:lineRule="auto"/>
        <w:ind w:firstLine="480" w:firstLineChars="200"/>
        <w:rPr>
          <w:sz w:val="24"/>
        </w:rPr>
      </w:pPr>
      <w:r>
        <w:rPr>
          <w:rFonts w:hint="eastAsia"/>
          <w:sz w:val="24"/>
        </w:rPr>
        <w:t>《工程复查实施细则——</w:t>
      </w:r>
      <w:r>
        <w:rPr>
          <w:rFonts w:hint="eastAsia" w:ascii="宋体" w:hAnsi="宋体"/>
          <w:spacing w:val="-4"/>
          <w:sz w:val="24"/>
        </w:rPr>
        <w:t>建筑幕墙类</w:t>
      </w:r>
      <w:r>
        <w:rPr>
          <w:rFonts w:hint="eastAsia"/>
          <w:sz w:val="24"/>
        </w:rPr>
        <w:t>（灯光演视工程）》中所列均为工程复查的必查和主查内容，各复查小组可根据项目实际情况做必要的补充和调整，但必查内容不可取消。复查评分严格按照各项要求及分值进行复查评分，并将各大项评分记录在申报表工程复查表中。</w:t>
      </w:r>
    </w:p>
    <w:p>
      <w:pPr>
        <w:adjustRightInd w:val="0"/>
        <w:snapToGrid w:val="0"/>
        <w:spacing w:line="360" w:lineRule="auto"/>
        <w:ind w:firstLine="480" w:firstLineChars="200"/>
        <w:rPr>
          <w:sz w:val="24"/>
        </w:rPr>
      </w:pPr>
      <w:r>
        <w:rPr>
          <w:rFonts w:hint="eastAsia"/>
          <w:sz w:val="24"/>
        </w:rPr>
        <w:t>申报中国建筑工程装饰奖的单位需重视对工程安全隐患的排查及相关必要文件的准备，要求企业申报前对涉及安全、计算书、绝缘、防雷、隐蔽资料等方面的情况进行自查，使其符合相应的国家强制性规范和标准以及装饰奖复查的要求。</w:t>
      </w:r>
    </w:p>
    <w:p>
      <w:pPr>
        <w:adjustRightInd w:val="0"/>
        <w:snapToGrid w:val="0"/>
        <w:spacing w:line="360" w:lineRule="auto"/>
        <w:ind w:firstLine="480" w:firstLineChars="200"/>
        <w:outlineLvl w:val="1"/>
        <w:rPr>
          <w:rFonts w:ascii="黑体" w:hAnsi="黑体" w:eastAsia="黑体"/>
          <w:sz w:val="24"/>
        </w:rPr>
      </w:pPr>
      <w:bookmarkStart w:id="2" w:name="_Toc7509"/>
      <w:r>
        <w:rPr>
          <w:rFonts w:hint="eastAsia" w:ascii="黑体" w:hAnsi="黑体" w:eastAsia="黑体"/>
          <w:sz w:val="24"/>
        </w:rPr>
        <w:t>二、申报项目的主要范围</w:t>
      </w:r>
      <w:bookmarkEnd w:id="2"/>
    </w:p>
    <w:p>
      <w:pPr>
        <w:adjustRightInd w:val="0"/>
        <w:snapToGrid w:val="0"/>
        <w:spacing w:line="360" w:lineRule="auto"/>
        <w:ind w:firstLine="480" w:firstLineChars="200"/>
        <w:rPr>
          <w:sz w:val="24"/>
        </w:rPr>
      </w:pPr>
      <w:r>
        <w:rPr>
          <w:rFonts w:hint="eastAsia"/>
          <w:sz w:val="24"/>
        </w:rPr>
        <w:t>中国建筑工程装饰奖</w:t>
      </w:r>
      <w:r>
        <w:rPr>
          <w:rFonts w:hint="eastAsia" w:ascii="宋体" w:hAnsi="宋体"/>
          <w:spacing w:val="-4"/>
          <w:sz w:val="24"/>
        </w:rPr>
        <w:t>建筑幕墙类</w:t>
      </w:r>
      <w:r>
        <w:rPr>
          <w:rFonts w:hint="eastAsia"/>
          <w:sz w:val="24"/>
        </w:rPr>
        <w:t>（灯光演视工程）是为了表彰在灯光装饰照明领域科技创新、科技推广、工程设计、工程施工等方面做出突出成绩的单位，起到促进我国灯光装饰照明科学技术、产品制造、工程设计等方面的质量与水平不断提高，推动我国灯光装饰照明事业高质量发展。灯光演视类工程主要包括城镇景观亮化、文旅亮化、建筑泛光、灯光秀等（市政照明工程不在申报范围内）。</w:t>
      </w:r>
    </w:p>
    <w:p>
      <w:pPr>
        <w:adjustRightInd w:val="0"/>
        <w:snapToGrid w:val="0"/>
        <w:spacing w:line="360" w:lineRule="auto"/>
        <w:ind w:firstLine="480" w:firstLineChars="200"/>
        <w:outlineLvl w:val="1"/>
        <w:rPr>
          <w:rFonts w:eastAsia="黑体"/>
          <w:bCs/>
          <w:sz w:val="24"/>
        </w:rPr>
      </w:pPr>
      <w:bookmarkStart w:id="3" w:name="_Toc28829"/>
      <w:r>
        <w:rPr>
          <w:rFonts w:hint="eastAsia" w:eastAsia="黑体"/>
          <w:bCs/>
          <w:sz w:val="24"/>
        </w:rPr>
        <w:t>三、主要执行规范和标准：</w:t>
      </w:r>
      <w:bookmarkEnd w:id="3"/>
    </w:p>
    <w:p>
      <w:pPr>
        <w:numPr>
          <w:ilvl w:val="0"/>
          <w:numId w:val="2"/>
        </w:numPr>
        <w:adjustRightInd w:val="0"/>
        <w:snapToGrid w:val="0"/>
        <w:spacing w:line="360" w:lineRule="auto"/>
        <w:ind w:hanging="414"/>
        <w:rPr>
          <w:sz w:val="24"/>
        </w:rPr>
      </w:pPr>
      <w:r>
        <w:rPr>
          <w:rFonts w:hint="eastAsia"/>
          <w:sz w:val="24"/>
        </w:rPr>
        <w:t>《房屋建筑制图统一标准》GBT50001-2017</w:t>
      </w:r>
    </w:p>
    <w:p>
      <w:pPr>
        <w:numPr>
          <w:ilvl w:val="0"/>
          <w:numId w:val="2"/>
        </w:numPr>
        <w:adjustRightInd w:val="0"/>
        <w:snapToGrid w:val="0"/>
        <w:spacing w:line="360" w:lineRule="auto"/>
        <w:rPr>
          <w:sz w:val="24"/>
        </w:rPr>
      </w:pPr>
      <w:r>
        <w:rPr>
          <w:rFonts w:hint="eastAsia"/>
          <w:sz w:val="24"/>
        </w:rPr>
        <w:t>《民用建筑设计统一标准》GB50352-2019</w:t>
      </w:r>
    </w:p>
    <w:p>
      <w:pPr>
        <w:numPr>
          <w:ilvl w:val="0"/>
          <w:numId w:val="2"/>
        </w:numPr>
        <w:adjustRightInd w:val="0"/>
        <w:snapToGrid w:val="0"/>
        <w:spacing w:line="360" w:lineRule="auto"/>
        <w:rPr>
          <w:sz w:val="24"/>
        </w:rPr>
      </w:pPr>
      <w:r>
        <w:rPr>
          <w:rFonts w:hint="eastAsia"/>
          <w:sz w:val="24"/>
        </w:rPr>
        <w:t>《建筑设计防火规范》GB50016-2014（2018年修订版）</w:t>
      </w:r>
    </w:p>
    <w:p>
      <w:pPr>
        <w:numPr>
          <w:ilvl w:val="0"/>
          <w:numId w:val="2"/>
        </w:numPr>
        <w:adjustRightInd w:val="0"/>
        <w:snapToGrid w:val="0"/>
        <w:spacing w:line="360" w:lineRule="auto"/>
        <w:rPr>
          <w:sz w:val="24"/>
        </w:rPr>
      </w:pPr>
      <w:r>
        <w:rPr>
          <w:rFonts w:hint="eastAsia"/>
          <w:sz w:val="24"/>
        </w:rPr>
        <w:t>《公共建筑节能设计标准》GB50189-2015</w:t>
      </w:r>
    </w:p>
    <w:p>
      <w:pPr>
        <w:numPr>
          <w:ilvl w:val="0"/>
          <w:numId w:val="2"/>
        </w:numPr>
        <w:adjustRightInd w:val="0"/>
        <w:snapToGrid w:val="0"/>
        <w:spacing w:line="360" w:lineRule="auto"/>
        <w:rPr>
          <w:sz w:val="24"/>
        </w:rPr>
      </w:pPr>
      <w:r>
        <w:rPr>
          <w:rFonts w:hint="eastAsia"/>
          <w:sz w:val="24"/>
        </w:rPr>
        <w:t>《建筑物防雷设计规范》GB50057-2010</w:t>
      </w:r>
    </w:p>
    <w:p>
      <w:pPr>
        <w:numPr>
          <w:ilvl w:val="0"/>
          <w:numId w:val="2"/>
        </w:numPr>
        <w:adjustRightInd w:val="0"/>
        <w:snapToGrid w:val="0"/>
        <w:spacing w:line="360" w:lineRule="auto"/>
        <w:rPr>
          <w:sz w:val="24"/>
        </w:rPr>
      </w:pPr>
      <w:r>
        <w:rPr>
          <w:rFonts w:hint="eastAsia"/>
          <w:sz w:val="24"/>
        </w:rPr>
        <w:t>《建筑结构可靠性设计统一标准》</w:t>
      </w:r>
      <w:r>
        <w:rPr>
          <w:sz w:val="24"/>
        </w:rPr>
        <w:t>GB50068-2018</w:t>
      </w:r>
    </w:p>
    <w:p>
      <w:pPr>
        <w:numPr>
          <w:ilvl w:val="0"/>
          <w:numId w:val="2"/>
        </w:numPr>
        <w:adjustRightInd w:val="0"/>
        <w:snapToGrid w:val="0"/>
        <w:spacing w:line="360" w:lineRule="auto"/>
        <w:rPr>
          <w:sz w:val="24"/>
        </w:rPr>
      </w:pPr>
      <w:r>
        <w:rPr>
          <w:rFonts w:hint="eastAsia"/>
          <w:sz w:val="24"/>
        </w:rPr>
        <w:t>《建筑结构荷载规范》GB50009-2012</w:t>
      </w:r>
    </w:p>
    <w:p>
      <w:pPr>
        <w:numPr>
          <w:ilvl w:val="0"/>
          <w:numId w:val="2"/>
        </w:numPr>
        <w:adjustRightInd w:val="0"/>
        <w:snapToGrid w:val="0"/>
        <w:spacing w:line="360" w:lineRule="auto"/>
        <w:rPr>
          <w:sz w:val="24"/>
        </w:rPr>
      </w:pPr>
      <w:r>
        <w:rPr>
          <w:rFonts w:hint="eastAsia"/>
          <w:sz w:val="24"/>
        </w:rPr>
        <w:t>《建筑抗震设计规范》GB50011-2010（2016年修订版）</w:t>
      </w:r>
    </w:p>
    <w:p>
      <w:pPr>
        <w:numPr>
          <w:ilvl w:val="0"/>
          <w:numId w:val="2"/>
        </w:numPr>
        <w:adjustRightInd w:val="0"/>
        <w:snapToGrid w:val="0"/>
        <w:spacing w:line="360" w:lineRule="auto"/>
        <w:rPr>
          <w:sz w:val="24"/>
        </w:rPr>
      </w:pPr>
      <w:r>
        <w:rPr>
          <w:rFonts w:hint="eastAsia"/>
          <w:sz w:val="24"/>
        </w:rPr>
        <w:t>《钢结构设计标准》GB50017-2017</w:t>
      </w:r>
    </w:p>
    <w:p>
      <w:pPr>
        <w:numPr>
          <w:ilvl w:val="0"/>
          <w:numId w:val="2"/>
        </w:numPr>
        <w:adjustRightInd w:val="0"/>
        <w:snapToGrid w:val="0"/>
        <w:spacing w:line="360" w:lineRule="auto"/>
        <w:rPr>
          <w:sz w:val="24"/>
        </w:rPr>
      </w:pPr>
      <w:r>
        <w:rPr>
          <w:rFonts w:hint="eastAsia"/>
          <w:sz w:val="24"/>
        </w:rPr>
        <w:t>《民用建筑电气设计标准》GB51348-2019</w:t>
      </w:r>
    </w:p>
    <w:p>
      <w:pPr>
        <w:numPr>
          <w:ilvl w:val="0"/>
          <w:numId w:val="2"/>
        </w:numPr>
        <w:adjustRightInd w:val="0"/>
        <w:snapToGrid w:val="0"/>
        <w:spacing w:line="360" w:lineRule="auto"/>
        <w:rPr>
          <w:sz w:val="24"/>
        </w:rPr>
      </w:pPr>
      <w:r>
        <w:rPr>
          <w:rFonts w:hint="eastAsia"/>
          <w:sz w:val="24"/>
        </w:rPr>
        <w:t>《电力工程电缆设计标准》G</w:t>
      </w:r>
      <w:r>
        <w:rPr>
          <w:sz w:val="24"/>
        </w:rPr>
        <w:t>B</w:t>
      </w:r>
      <w:r>
        <w:rPr>
          <w:rFonts w:hint="eastAsia"/>
          <w:sz w:val="24"/>
        </w:rPr>
        <w:t>50217-201</w:t>
      </w:r>
      <w:r>
        <w:rPr>
          <w:sz w:val="24"/>
        </w:rPr>
        <w:t>8</w:t>
      </w:r>
    </w:p>
    <w:p>
      <w:pPr>
        <w:numPr>
          <w:ilvl w:val="0"/>
          <w:numId w:val="2"/>
        </w:numPr>
        <w:adjustRightInd w:val="0"/>
        <w:snapToGrid w:val="0"/>
        <w:spacing w:line="360" w:lineRule="auto"/>
        <w:rPr>
          <w:sz w:val="24"/>
        </w:rPr>
      </w:pPr>
      <w:r>
        <w:rPr>
          <w:rFonts w:hint="eastAsia"/>
          <w:sz w:val="24"/>
        </w:rPr>
        <w:t>《建筑照明设计标准》G</w:t>
      </w:r>
      <w:r>
        <w:rPr>
          <w:sz w:val="24"/>
        </w:rPr>
        <w:t>B</w:t>
      </w:r>
      <w:r>
        <w:rPr>
          <w:rFonts w:hint="eastAsia"/>
          <w:sz w:val="24"/>
        </w:rPr>
        <w:t>50034-2013</w:t>
      </w:r>
    </w:p>
    <w:p>
      <w:pPr>
        <w:numPr>
          <w:ilvl w:val="0"/>
          <w:numId w:val="2"/>
        </w:numPr>
        <w:adjustRightInd w:val="0"/>
        <w:snapToGrid w:val="0"/>
        <w:spacing w:line="360" w:lineRule="auto"/>
        <w:rPr>
          <w:sz w:val="24"/>
        </w:rPr>
      </w:pPr>
      <w:r>
        <w:rPr>
          <w:rFonts w:hint="eastAsia"/>
          <w:sz w:val="24"/>
        </w:rPr>
        <w:t>《低压配电设计规范》G</w:t>
      </w:r>
      <w:r>
        <w:rPr>
          <w:sz w:val="24"/>
        </w:rPr>
        <w:t>B</w:t>
      </w:r>
      <w:r>
        <w:rPr>
          <w:rFonts w:hint="eastAsia"/>
          <w:sz w:val="24"/>
        </w:rPr>
        <w:t>50054-2011</w:t>
      </w:r>
    </w:p>
    <w:p>
      <w:pPr>
        <w:numPr>
          <w:ilvl w:val="0"/>
          <w:numId w:val="2"/>
        </w:numPr>
        <w:adjustRightInd w:val="0"/>
        <w:snapToGrid w:val="0"/>
        <w:spacing w:line="360" w:lineRule="auto"/>
        <w:rPr>
          <w:sz w:val="24"/>
        </w:rPr>
      </w:pPr>
      <w:r>
        <w:rPr>
          <w:rFonts w:hint="eastAsia"/>
          <w:sz w:val="24"/>
        </w:rPr>
        <w:t>《供配电系统设计规范》G</w:t>
      </w:r>
      <w:r>
        <w:rPr>
          <w:sz w:val="24"/>
        </w:rPr>
        <w:t>B</w:t>
      </w:r>
      <w:r>
        <w:rPr>
          <w:rFonts w:hint="eastAsia"/>
          <w:sz w:val="24"/>
        </w:rPr>
        <w:t>50052-2009</w:t>
      </w:r>
    </w:p>
    <w:p>
      <w:pPr>
        <w:numPr>
          <w:ilvl w:val="0"/>
          <w:numId w:val="2"/>
        </w:numPr>
        <w:adjustRightInd w:val="0"/>
        <w:snapToGrid w:val="0"/>
        <w:spacing w:line="360" w:lineRule="auto"/>
        <w:rPr>
          <w:sz w:val="24"/>
        </w:rPr>
      </w:pPr>
      <w:r>
        <w:rPr>
          <w:rFonts w:hint="eastAsia"/>
          <w:sz w:val="24"/>
        </w:rPr>
        <w:t>《城市道路照明设计标准》</w:t>
      </w:r>
      <w:r>
        <w:rPr>
          <w:sz w:val="24"/>
        </w:rPr>
        <w:t>CJJ45</w:t>
      </w:r>
      <w:r>
        <w:rPr>
          <w:rFonts w:hint="eastAsia"/>
          <w:sz w:val="24"/>
        </w:rPr>
        <w:t>-2015</w:t>
      </w:r>
    </w:p>
    <w:p>
      <w:pPr>
        <w:numPr>
          <w:ilvl w:val="0"/>
          <w:numId w:val="2"/>
        </w:numPr>
        <w:adjustRightInd w:val="0"/>
        <w:snapToGrid w:val="0"/>
        <w:spacing w:line="360" w:lineRule="auto"/>
        <w:rPr>
          <w:sz w:val="24"/>
        </w:rPr>
      </w:pPr>
      <w:r>
        <w:rPr>
          <w:rFonts w:hint="eastAsia"/>
          <w:sz w:val="24"/>
        </w:rPr>
        <w:t>《城市夜景照明设计规范》</w:t>
      </w:r>
      <w:r>
        <w:rPr>
          <w:sz w:val="24"/>
        </w:rPr>
        <w:t>J</w:t>
      </w:r>
      <w:r>
        <w:rPr>
          <w:rFonts w:hint="eastAsia"/>
          <w:sz w:val="24"/>
        </w:rPr>
        <w:t>G</w:t>
      </w:r>
      <w:r>
        <w:rPr>
          <w:sz w:val="24"/>
        </w:rPr>
        <w:t>J/T16</w:t>
      </w:r>
      <w:r>
        <w:rPr>
          <w:rFonts w:hint="eastAsia"/>
          <w:sz w:val="24"/>
        </w:rPr>
        <w:t>3-20</w:t>
      </w:r>
      <w:r>
        <w:rPr>
          <w:sz w:val="24"/>
        </w:rPr>
        <w:t>08</w:t>
      </w:r>
    </w:p>
    <w:p>
      <w:pPr>
        <w:numPr>
          <w:ilvl w:val="0"/>
          <w:numId w:val="2"/>
        </w:numPr>
        <w:adjustRightInd w:val="0"/>
        <w:snapToGrid w:val="0"/>
        <w:spacing w:line="360" w:lineRule="auto"/>
        <w:rPr>
          <w:sz w:val="24"/>
        </w:rPr>
      </w:pPr>
      <w:r>
        <w:rPr>
          <w:rFonts w:hint="eastAsia"/>
          <w:sz w:val="24"/>
        </w:rPr>
        <w:t>《建筑电气工程施工质量验收规范》G</w:t>
      </w:r>
      <w:r>
        <w:rPr>
          <w:sz w:val="24"/>
        </w:rPr>
        <w:t>B</w:t>
      </w:r>
      <w:r>
        <w:rPr>
          <w:rFonts w:hint="eastAsia"/>
          <w:sz w:val="24"/>
        </w:rPr>
        <w:t>50303-2015</w:t>
      </w:r>
    </w:p>
    <w:p>
      <w:pPr>
        <w:numPr>
          <w:ilvl w:val="0"/>
          <w:numId w:val="2"/>
        </w:numPr>
        <w:adjustRightInd w:val="0"/>
        <w:snapToGrid w:val="0"/>
        <w:spacing w:line="360" w:lineRule="auto"/>
        <w:rPr>
          <w:sz w:val="24"/>
        </w:rPr>
      </w:pPr>
      <w:r>
        <w:rPr>
          <w:rFonts w:hint="eastAsia"/>
          <w:sz w:val="24"/>
        </w:rPr>
        <w:t>《民用建筑电气设计与施工》08</w:t>
      </w:r>
      <w:r>
        <w:rPr>
          <w:sz w:val="24"/>
        </w:rPr>
        <w:t>D</w:t>
      </w:r>
      <w:r>
        <w:rPr>
          <w:rFonts w:hint="eastAsia"/>
          <w:sz w:val="24"/>
        </w:rPr>
        <w:t>800-1~7图集（2008年合订本）</w:t>
      </w:r>
    </w:p>
    <w:p>
      <w:pPr>
        <w:numPr>
          <w:ilvl w:val="0"/>
          <w:numId w:val="2"/>
        </w:numPr>
        <w:adjustRightInd w:val="0"/>
        <w:snapToGrid w:val="0"/>
        <w:spacing w:line="360" w:lineRule="auto"/>
        <w:rPr>
          <w:sz w:val="24"/>
        </w:rPr>
      </w:pPr>
      <w:r>
        <w:rPr>
          <w:rFonts w:hint="eastAsia"/>
          <w:sz w:val="24"/>
        </w:rPr>
        <w:t>《防雷与接地安装》D500~505图集（2016年合订本）</w:t>
      </w:r>
    </w:p>
    <w:p>
      <w:pPr>
        <w:numPr>
          <w:ilvl w:val="0"/>
          <w:numId w:val="2"/>
        </w:numPr>
        <w:adjustRightInd w:val="0"/>
        <w:snapToGrid w:val="0"/>
        <w:spacing w:line="360" w:lineRule="auto"/>
        <w:rPr>
          <w:sz w:val="24"/>
        </w:rPr>
      </w:pPr>
      <w:r>
        <w:rPr>
          <w:rFonts w:hint="eastAsia"/>
          <w:sz w:val="24"/>
        </w:rPr>
        <w:t>《城市照明建设规划标准》</w:t>
      </w:r>
      <w:r>
        <w:rPr>
          <w:sz w:val="24"/>
        </w:rPr>
        <w:t>CJJ</w:t>
      </w:r>
      <w:r>
        <w:rPr>
          <w:rFonts w:hint="eastAsia"/>
          <w:sz w:val="24"/>
        </w:rPr>
        <w:t>/</w:t>
      </w:r>
      <w:r>
        <w:rPr>
          <w:sz w:val="24"/>
        </w:rPr>
        <w:t>T</w:t>
      </w:r>
      <w:r>
        <w:rPr>
          <w:rFonts w:hint="eastAsia"/>
          <w:sz w:val="24"/>
        </w:rPr>
        <w:t>307-2019</w:t>
      </w:r>
    </w:p>
    <w:p>
      <w:pPr>
        <w:numPr>
          <w:ilvl w:val="0"/>
          <w:numId w:val="2"/>
        </w:numPr>
        <w:adjustRightInd w:val="0"/>
        <w:snapToGrid w:val="0"/>
        <w:spacing w:line="360" w:lineRule="auto"/>
        <w:rPr>
          <w:sz w:val="24"/>
        </w:rPr>
      </w:pPr>
      <w:r>
        <w:rPr>
          <w:rFonts w:hint="eastAsia"/>
          <w:sz w:val="24"/>
        </w:rPr>
        <w:t>《道路照明灯杆技术条件》</w:t>
      </w:r>
      <w:r>
        <w:rPr>
          <w:sz w:val="24"/>
        </w:rPr>
        <w:t>CJ</w:t>
      </w:r>
      <w:r>
        <w:rPr>
          <w:rFonts w:hint="eastAsia"/>
          <w:sz w:val="24"/>
        </w:rPr>
        <w:t>/</w:t>
      </w:r>
      <w:r>
        <w:rPr>
          <w:sz w:val="24"/>
        </w:rPr>
        <w:t>T</w:t>
      </w:r>
      <w:r>
        <w:rPr>
          <w:rFonts w:hint="eastAsia"/>
          <w:sz w:val="24"/>
        </w:rPr>
        <w:t>527-2018</w:t>
      </w:r>
    </w:p>
    <w:p>
      <w:pPr>
        <w:numPr>
          <w:ilvl w:val="0"/>
          <w:numId w:val="2"/>
        </w:numPr>
        <w:adjustRightInd w:val="0"/>
        <w:snapToGrid w:val="0"/>
        <w:spacing w:line="360" w:lineRule="auto"/>
        <w:rPr>
          <w:sz w:val="24"/>
        </w:rPr>
      </w:pPr>
      <w:r>
        <w:rPr>
          <w:rFonts w:hint="eastAsia"/>
          <w:sz w:val="24"/>
        </w:rPr>
        <w:t>《室外照明干扰光测量规范》G</w:t>
      </w:r>
      <w:r>
        <w:rPr>
          <w:sz w:val="24"/>
        </w:rPr>
        <w:t>B/T38439-2019</w:t>
      </w:r>
    </w:p>
    <w:p>
      <w:pPr>
        <w:numPr>
          <w:ilvl w:val="0"/>
          <w:numId w:val="2"/>
        </w:numPr>
        <w:adjustRightInd w:val="0"/>
        <w:snapToGrid w:val="0"/>
        <w:spacing w:line="360" w:lineRule="auto"/>
        <w:rPr>
          <w:sz w:val="24"/>
        </w:rPr>
      </w:pPr>
      <w:r>
        <w:rPr>
          <w:rFonts w:hint="eastAsia"/>
          <w:sz w:val="24"/>
        </w:rPr>
        <w:t>《普通照明用L</w:t>
      </w:r>
      <w:r>
        <w:rPr>
          <w:sz w:val="24"/>
        </w:rPr>
        <w:t>ED</w:t>
      </w:r>
      <w:r>
        <w:rPr>
          <w:rFonts w:hint="eastAsia"/>
          <w:sz w:val="24"/>
        </w:rPr>
        <w:t>产品光辐射安全要求》G</w:t>
      </w:r>
      <w:r>
        <w:rPr>
          <w:sz w:val="24"/>
        </w:rPr>
        <w:t>B/T34034-2017</w:t>
      </w:r>
    </w:p>
    <w:p>
      <w:pPr>
        <w:numPr>
          <w:ilvl w:val="0"/>
          <w:numId w:val="2"/>
        </w:numPr>
        <w:adjustRightInd w:val="0"/>
        <w:snapToGrid w:val="0"/>
        <w:spacing w:line="360" w:lineRule="auto"/>
        <w:outlineLvl w:val="2"/>
        <w:rPr>
          <w:sz w:val="24"/>
        </w:rPr>
      </w:pPr>
      <w:bookmarkStart w:id="4" w:name="_Toc25997"/>
      <w:r>
        <w:rPr>
          <w:rFonts w:hint="eastAsia"/>
          <w:sz w:val="24"/>
        </w:rPr>
        <w:t>《建筑照明术语标准》J</w:t>
      </w:r>
      <w:r>
        <w:rPr>
          <w:sz w:val="24"/>
        </w:rPr>
        <w:t>GJ/T119-2008</w:t>
      </w:r>
      <w:bookmarkEnd w:id="4"/>
    </w:p>
    <w:p>
      <w:pPr>
        <w:numPr>
          <w:ilvl w:val="0"/>
          <w:numId w:val="2"/>
        </w:numPr>
        <w:adjustRightInd w:val="0"/>
        <w:snapToGrid w:val="0"/>
        <w:spacing w:line="360" w:lineRule="auto"/>
        <w:rPr>
          <w:sz w:val="24"/>
        </w:rPr>
      </w:pPr>
      <w:r>
        <w:rPr>
          <w:rFonts w:hint="eastAsia"/>
          <w:sz w:val="24"/>
        </w:rPr>
        <w:t>《L</w:t>
      </w:r>
      <w:r>
        <w:rPr>
          <w:sz w:val="24"/>
        </w:rPr>
        <w:t>ED</w:t>
      </w:r>
      <w:r>
        <w:rPr>
          <w:rFonts w:hint="eastAsia"/>
          <w:sz w:val="24"/>
        </w:rPr>
        <w:t>体育照明应用技术要求》G</w:t>
      </w:r>
      <w:r>
        <w:rPr>
          <w:sz w:val="24"/>
        </w:rPr>
        <w:t>B/T38539-2020</w:t>
      </w:r>
    </w:p>
    <w:p>
      <w:pPr>
        <w:numPr>
          <w:ilvl w:val="0"/>
          <w:numId w:val="2"/>
        </w:numPr>
        <w:adjustRightInd w:val="0"/>
        <w:snapToGrid w:val="0"/>
        <w:spacing w:line="360" w:lineRule="auto"/>
        <w:rPr>
          <w:sz w:val="24"/>
        </w:rPr>
      </w:pPr>
      <w:r>
        <w:rPr>
          <w:rFonts w:hint="eastAsia"/>
          <w:sz w:val="24"/>
        </w:rPr>
        <w:t>《建筑电气照明装置施工与验收规范》G</w:t>
      </w:r>
      <w:r>
        <w:rPr>
          <w:sz w:val="24"/>
        </w:rPr>
        <w:t>B50617-2010</w:t>
      </w:r>
    </w:p>
    <w:p>
      <w:pPr>
        <w:numPr>
          <w:ilvl w:val="0"/>
          <w:numId w:val="2"/>
        </w:numPr>
        <w:adjustRightInd w:val="0"/>
        <w:snapToGrid w:val="0"/>
        <w:spacing w:line="360" w:lineRule="auto"/>
        <w:rPr>
          <w:sz w:val="24"/>
        </w:rPr>
      </w:pPr>
      <w:r>
        <w:rPr>
          <w:rFonts w:hint="eastAsia"/>
          <w:sz w:val="24"/>
        </w:rPr>
        <w:t>《城市景观照明设施防雷技术规范》Q</w:t>
      </w:r>
      <w:r>
        <w:rPr>
          <w:sz w:val="24"/>
        </w:rPr>
        <w:t>Xt210-2013</w:t>
      </w:r>
    </w:p>
    <w:p>
      <w:pPr>
        <w:numPr>
          <w:ilvl w:val="0"/>
          <w:numId w:val="2"/>
        </w:numPr>
        <w:adjustRightInd w:val="0"/>
        <w:snapToGrid w:val="0"/>
        <w:spacing w:line="360" w:lineRule="auto"/>
        <w:rPr>
          <w:sz w:val="24"/>
        </w:rPr>
      </w:pPr>
      <w:r>
        <w:rPr>
          <w:rFonts w:hint="eastAsia"/>
          <w:sz w:val="24"/>
        </w:rPr>
        <w:t>《泛光照明指南》G</w:t>
      </w:r>
      <w:r>
        <w:rPr>
          <w:sz w:val="24"/>
        </w:rPr>
        <w:t>B/Z26207-2010</w:t>
      </w:r>
    </w:p>
    <w:p>
      <w:pPr>
        <w:numPr>
          <w:ilvl w:val="0"/>
          <w:numId w:val="2"/>
        </w:numPr>
        <w:adjustRightInd w:val="0"/>
        <w:snapToGrid w:val="0"/>
        <w:spacing w:line="360" w:lineRule="auto"/>
        <w:rPr>
          <w:sz w:val="24"/>
        </w:rPr>
      </w:pPr>
      <w:r>
        <w:rPr>
          <w:rFonts w:hint="eastAsia"/>
          <w:sz w:val="24"/>
        </w:rPr>
        <w:t>《建筑防火通用规范》GB55037-2022</w:t>
      </w:r>
    </w:p>
    <w:p>
      <w:pPr>
        <w:adjustRightInd w:val="0"/>
        <w:snapToGrid w:val="0"/>
        <w:spacing w:line="360" w:lineRule="auto"/>
        <w:rPr>
          <w:sz w:val="24"/>
        </w:rPr>
      </w:pPr>
      <w:r>
        <w:rPr>
          <w:rFonts w:hint="eastAsia"/>
          <w:sz w:val="24"/>
        </w:rPr>
        <w:t>注：上文未列的标准、规范以国家、行业、团体现行标准、规范为准。</w:t>
      </w:r>
    </w:p>
    <w:p>
      <w:pPr>
        <w:adjustRightInd w:val="0"/>
        <w:snapToGrid w:val="0"/>
        <w:spacing w:line="360" w:lineRule="auto"/>
        <w:rPr>
          <w:sz w:val="24"/>
        </w:rPr>
        <w:sectPr>
          <w:pgSz w:w="11906" w:h="16838"/>
          <w:pgMar w:top="1440" w:right="1587" w:bottom="1440" w:left="1247" w:header="851" w:footer="992" w:gutter="0"/>
          <w:pgNumType w:fmt="numberInDash"/>
          <w:cols w:space="720" w:num="1"/>
          <w:docGrid w:type="lines" w:linePitch="312" w:charSpace="0"/>
        </w:sectPr>
      </w:pPr>
    </w:p>
    <w:p>
      <w:pPr>
        <w:tabs>
          <w:tab w:val="left" w:pos="499"/>
          <w:tab w:val="center" w:pos="4536"/>
        </w:tabs>
        <w:jc w:val="center"/>
        <w:outlineLvl w:val="1"/>
        <w:rPr>
          <w:rFonts w:ascii="宋体" w:hAnsi="宋体"/>
          <w:bCs/>
          <w:sz w:val="10"/>
          <w:szCs w:val="10"/>
        </w:rPr>
      </w:pPr>
      <w:bookmarkStart w:id="5" w:name="_Toc7121"/>
      <w:r>
        <w:rPr>
          <w:rFonts w:hint="eastAsia" w:ascii="黑体" w:hAnsi="黑体" w:eastAsia="黑体"/>
          <w:b/>
          <w:bCs/>
          <w:sz w:val="30"/>
          <w:szCs w:val="30"/>
        </w:rPr>
        <w:t>四、工程复查实施细则</w:t>
      </w:r>
      <w:r>
        <w:rPr>
          <w:rFonts w:hint="eastAsia" w:ascii="宋体" w:hAnsi="宋体"/>
          <w:bCs/>
          <w:sz w:val="30"/>
          <w:szCs w:val="30"/>
        </w:rPr>
        <w:t>——</w:t>
      </w:r>
      <w:r>
        <w:rPr>
          <w:rFonts w:hint="eastAsia" w:ascii="宋体" w:hAnsi="宋体"/>
          <w:spacing w:val="-4"/>
          <w:sz w:val="30"/>
          <w:szCs w:val="30"/>
        </w:rPr>
        <w:t>建筑幕墙类</w:t>
      </w:r>
      <w:r>
        <w:rPr>
          <w:rFonts w:hint="eastAsia"/>
          <w:sz w:val="24"/>
        </w:rPr>
        <w:t>（灯光演视工程）</w:t>
      </w:r>
      <w:bookmarkEnd w:id="5"/>
    </w:p>
    <w:tbl>
      <w:tblPr>
        <w:tblStyle w:val="2"/>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8" w:hRule="atLeast"/>
        </w:trPr>
        <w:tc>
          <w:tcPr>
            <w:tcW w:w="567"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ascii="宋体" w:hAnsi="宋体"/>
                <w:szCs w:val="21"/>
              </w:rPr>
              <w:t>1</w:t>
            </w:r>
          </w:p>
        </w:tc>
        <w:tc>
          <w:tcPr>
            <w:tcW w:w="1277" w:type="dxa"/>
            <w:vMerge w:val="restart"/>
            <w:tcBorders>
              <w:top w:val="single" w:color="auto" w:sz="4" w:space="0"/>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黑体" w:hAnsi="黑体" w:eastAsia="黑体"/>
                <w:szCs w:val="21"/>
              </w:rPr>
            </w:pPr>
            <w:r>
              <w:rPr>
                <w:rFonts w:hint="eastAsia" w:ascii="黑体" w:hAnsi="黑体" w:eastAsia="黑体"/>
                <w:szCs w:val="21"/>
              </w:rPr>
              <w:t>必要文件：</w:t>
            </w:r>
          </w:p>
          <w:p>
            <w:pPr>
              <w:pStyle w:val="4"/>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企业营业执照、资质等级证书、安全生产许可证（此三项上一年度参评的单位可提供在有效期内的加盖本单位公章的复印件）；</w:t>
            </w:r>
          </w:p>
          <w:p>
            <w:pPr>
              <w:pStyle w:val="4"/>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项目经理注册建造师证书、安全生产考核合格证书；</w:t>
            </w:r>
          </w:p>
          <w:p>
            <w:pPr>
              <w:pStyle w:val="4"/>
              <w:snapToGrid w:val="0"/>
              <w:spacing w:line="276"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灯光演视施工合同（含施工范围、金额）；</w:t>
            </w:r>
          </w:p>
          <w:p>
            <w:pPr>
              <w:pStyle w:val="4"/>
              <w:snapToGrid w:val="0"/>
              <w:spacing w:line="276"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施工许可证（施工许可证不单独发给灯光工程的，可以用总包单位的施工许可证）；</w:t>
            </w:r>
          </w:p>
          <w:p>
            <w:pPr>
              <w:pStyle w:val="4"/>
              <w:snapToGrid w:val="0"/>
              <w:spacing w:line="276" w:lineRule="auto"/>
              <w:ind w:firstLine="0" w:firstLineChars="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灯光演视工程单项竣工验收资料（签章必须齐全）</w:t>
            </w:r>
          </w:p>
          <w:p>
            <w:pPr>
              <w:pStyle w:val="4"/>
              <w:snapToGrid w:val="0"/>
              <w:spacing w:line="276" w:lineRule="auto"/>
              <w:ind w:firstLine="0" w:firstLineChars="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工程验收合格备案证书（备案证书不单独发给灯光工程的，可以用总包单位的备案证书）。</w:t>
            </w:r>
          </w:p>
        </w:tc>
        <w:tc>
          <w:tcPr>
            <w:tcW w:w="2409"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left"/>
              <w:rPr>
                <w:rFonts w:ascii="宋体" w:hAnsi="宋体"/>
                <w:szCs w:val="21"/>
              </w:rPr>
            </w:pPr>
          </w:p>
          <w:p>
            <w:pPr>
              <w:pStyle w:val="4"/>
              <w:numPr>
                <w:ilvl w:val="0"/>
                <w:numId w:val="3"/>
              </w:numPr>
              <w:snapToGrid w:val="0"/>
              <w:spacing w:line="288" w:lineRule="auto"/>
              <w:ind w:left="33" w:hanging="33" w:firstLineChars="0"/>
              <w:jc w:val="left"/>
              <w:rPr>
                <w:rFonts w:ascii="宋体" w:hAnsi="宋体"/>
                <w:szCs w:val="21"/>
              </w:rPr>
            </w:pPr>
            <w:r>
              <w:rPr>
                <w:rFonts w:hint="eastAsia" w:ascii="宋体" w:hAnsi="宋体"/>
                <w:szCs w:val="21"/>
              </w:rPr>
              <w:t>必要文件有一项不合格或不符合要求者不予评审。</w:t>
            </w:r>
          </w:p>
          <w:p>
            <w:pPr>
              <w:pStyle w:val="4"/>
              <w:numPr>
                <w:ilvl w:val="0"/>
                <w:numId w:val="3"/>
              </w:numPr>
              <w:snapToGrid w:val="0"/>
              <w:spacing w:line="288" w:lineRule="auto"/>
              <w:ind w:left="33" w:hanging="33" w:firstLineChars="0"/>
              <w:jc w:val="left"/>
              <w:rPr>
                <w:rFonts w:ascii="宋体" w:hAnsi="宋体"/>
                <w:szCs w:val="21"/>
              </w:rPr>
            </w:pPr>
            <w:r>
              <w:rPr>
                <w:rFonts w:hint="eastAsia" w:ascii="宋体" w:hAnsi="宋体"/>
                <w:szCs w:val="21"/>
              </w:rPr>
              <w:t>未以电气安装资料</w:t>
            </w:r>
            <w:bookmarkStart w:id="6" w:name="_GoBack"/>
            <w:bookmarkEnd w:id="6"/>
            <w:r>
              <w:rPr>
                <w:rFonts w:hint="eastAsia" w:ascii="宋体" w:hAnsi="宋体"/>
                <w:szCs w:val="21"/>
              </w:rPr>
              <w:t>进行组卷（1-2分）；</w:t>
            </w:r>
          </w:p>
          <w:p>
            <w:pPr>
              <w:pStyle w:val="4"/>
              <w:numPr>
                <w:ilvl w:val="0"/>
                <w:numId w:val="3"/>
              </w:numPr>
              <w:snapToGrid w:val="0"/>
              <w:spacing w:line="288" w:lineRule="auto"/>
              <w:ind w:left="33" w:hanging="33" w:firstLineChars="0"/>
              <w:jc w:val="left"/>
              <w:rPr>
                <w:rFonts w:ascii="宋体" w:hAnsi="宋体"/>
                <w:szCs w:val="21"/>
              </w:rPr>
            </w:pPr>
            <w:r>
              <w:rPr>
                <w:rFonts w:hint="eastAsia" w:ascii="宋体" w:hAnsi="宋体"/>
                <w:szCs w:val="21"/>
              </w:rPr>
              <w:t>主要材料质量不符合标准、规范和设计要求（每项扣3-5分）；</w:t>
            </w:r>
          </w:p>
          <w:p>
            <w:pPr>
              <w:pStyle w:val="4"/>
              <w:numPr>
                <w:ilvl w:val="0"/>
                <w:numId w:val="3"/>
              </w:numPr>
              <w:snapToGrid w:val="0"/>
              <w:spacing w:line="288" w:lineRule="auto"/>
              <w:ind w:left="33" w:hanging="33" w:firstLineChars="0"/>
              <w:jc w:val="left"/>
              <w:rPr>
                <w:rFonts w:ascii="宋体" w:hAnsi="宋体"/>
                <w:szCs w:val="21"/>
              </w:rPr>
            </w:pPr>
            <w:r>
              <w:rPr>
                <w:rFonts w:hint="eastAsia" w:ascii="宋体" w:hAnsi="宋体"/>
                <w:szCs w:val="21"/>
              </w:rPr>
              <w:t>提供的材料质量证明资料与工程所用材料不符（每项扣1-2分）；</w:t>
            </w:r>
          </w:p>
          <w:p>
            <w:pPr>
              <w:pStyle w:val="4"/>
              <w:numPr>
                <w:ilvl w:val="0"/>
                <w:numId w:val="3"/>
              </w:numPr>
              <w:snapToGrid w:val="0"/>
              <w:spacing w:line="288" w:lineRule="auto"/>
              <w:ind w:left="33" w:hanging="33" w:firstLineChars="0"/>
              <w:jc w:val="left"/>
              <w:rPr>
                <w:rFonts w:ascii="宋体" w:hAnsi="宋体"/>
                <w:szCs w:val="21"/>
              </w:rPr>
            </w:pPr>
            <w:r>
              <w:rPr>
                <w:rFonts w:hint="eastAsia" w:ascii="宋体" w:hAnsi="宋体"/>
                <w:szCs w:val="21"/>
              </w:rPr>
              <w:t>无测试、调试记录（每项扣1-2分）；</w:t>
            </w:r>
          </w:p>
          <w:p>
            <w:pPr>
              <w:pStyle w:val="4"/>
              <w:numPr>
                <w:ilvl w:val="0"/>
                <w:numId w:val="3"/>
              </w:numPr>
              <w:snapToGrid w:val="0"/>
              <w:spacing w:line="288" w:lineRule="auto"/>
              <w:ind w:left="33" w:hanging="33" w:firstLineChars="0"/>
              <w:jc w:val="left"/>
              <w:rPr>
                <w:rFonts w:ascii="宋体" w:hAnsi="宋体"/>
                <w:szCs w:val="21"/>
              </w:rPr>
            </w:pPr>
            <w:r>
              <w:rPr>
                <w:rFonts w:hint="eastAsia" w:ascii="宋体" w:hAnsi="宋体"/>
                <w:szCs w:val="21"/>
              </w:rPr>
              <w:t>无隐蔽验收记录（每项扣1-3分）；</w:t>
            </w:r>
          </w:p>
          <w:p>
            <w:pPr>
              <w:pStyle w:val="4"/>
              <w:numPr>
                <w:ilvl w:val="0"/>
                <w:numId w:val="3"/>
              </w:numPr>
              <w:snapToGrid w:val="0"/>
              <w:spacing w:line="288" w:lineRule="auto"/>
              <w:ind w:left="33" w:hanging="33" w:firstLineChars="0"/>
              <w:jc w:val="left"/>
              <w:rPr>
                <w:rFonts w:ascii="宋体" w:hAnsi="宋体"/>
                <w:szCs w:val="21"/>
              </w:rPr>
            </w:pPr>
            <w:r>
              <w:rPr>
                <w:rFonts w:hint="eastAsia" w:ascii="宋体" w:hAnsi="宋体"/>
                <w:szCs w:val="21"/>
              </w:rPr>
              <w:t>其它不符合要求或不合规情况（每项扣0.5-1分）。</w:t>
            </w:r>
          </w:p>
        </w:tc>
        <w:tc>
          <w:tcPr>
            <w:tcW w:w="1701" w:type="dxa"/>
            <w:tcBorders>
              <w:top w:val="single" w:color="auto" w:sz="4" w:space="0"/>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必要文件应为原件或可网查的电子文件打印件并加盖申报单位鲜章。</w:t>
            </w:r>
          </w:p>
          <w:p>
            <w:pPr>
              <w:snapToGrid w:val="0"/>
              <w:spacing w:line="288" w:lineRule="auto"/>
              <w:ind w:firstLine="210" w:firstLineChars="100"/>
              <w:jc w:val="left"/>
              <w:rPr>
                <w:rFonts w:ascii="宋体" w:hAnsi="宋体"/>
                <w:szCs w:val="21"/>
              </w:rPr>
            </w:pPr>
          </w:p>
        </w:tc>
        <w:tc>
          <w:tcPr>
            <w:tcW w:w="851"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25分</w:t>
            </w:r>
          </w:p>
        </w:tc>
        <w:tc>
          <w:tcPr>
            <w:tcW w:w="2268" w:type="dxa"/>
            <w:tcBorders>
              <w:top w:val="single" w:color="auto" w:sz="4" w:space="0"/>
              <w:left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查：相关文件资料原件或电子证件（提供网查链接）；</w:t>
            </w:r>
          </w:p>
          <w:p>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黑体" w:hAnsi="黑体" w:eastAsia="黑体"/>
                <w:bCs/>
                <w:szCs w:val="21"/>
              </w:rPr>
            </w:pPr>
            <w:r>
              <w:rPr>
                <w:rFonts w:hint="eastAsia" w:ascii="黑体" w:hAnsi="黑体" w:eastAsia="黑体"/>
                <w:bCs/>
                <w:szCs w:val="21"/>
              </w:rPr>
              <w:t>质量管理资料：</w:t>
            </w:r>
          </w:p>
          <w:p>
            <w:pPr>
              <w:snapToGrid w:val="0"/>
              <w:spacing w:line="276" w:lineRule="auto"/>
              <w:rPr>
                <w:szCs w:val="21"/>
              </w:rPr>
            </w:pPr>
            <w:r>
              <w:rPr>
                <w:rFonts w:hint="eastAsia"/>
                <w:szCs w:val="21"/>
              </w:rPr>
              <w:t>1</w:t>
            </w:r>
            <w:r>
              <w:rPr>
                <w:szCs w:val="21"/>
              </w:rPr>
              <w:t>.</w:t>
            </w:r>
            <w:r>
              <w:rPr>
                <w:rFonts w:hint="eastAsia"/>
                <w:szCs w:val="21"/>
              </w:rPr>
              <w:t>应提供施工组织设计、施工日志、技术交底等，涉及危险性较大分部分项工程的应提供论证报告；</w:t>
            </w:r>
          </w:p>
          <w:p>
            <w:pPr>
              <w:snapToGrid w:val="0"/>
              <w:spacing w:line="276" w:lineRule="auto"/>
              <w:rPr>
                <w:szCs w:val="21"/>
              </w:rPr>
            </w:pPr>
            <w:r>
              <w:rPr>
                <w:szCs w:val="21"/>
              </w:rPr>
              <w:t>2.</w:t>
            </w:r>
            <w:r>
              <w:rPr>
                <w:rFonts w:hint="eastAsia"/>
                <w:szCs w:val="21"/>
              </w:rPr>
              <w:t>使用的主要材料应符合标准、规范要求，符合设计要求。应有出厂合格证、3</w:t>
            </w:r>
            <w:r>
              <w:rPr>
                <w:szCs w:val="21"/>
              </w:rPr>
              <w:t>C</w:t>
            </w:r>
            <w:r>
              <w:rPr>
                <w:rFonts w:hint="eastAsia"/>
                <w:szCs w:val="21"/>
              </w:rPr>
              <w:t>认证、检测报告（例如钢材、铝材、连接件、线管、电缆、开关面板、配电箱、灯具等）；进口材料应符合我国相关产品标准；3</w:t>
            </w:r>
            <w:r>
              <w:rPr>
                <w:szCs w:val="21"/>
              </w:rPr>
              <w:t>.</w:t>
            </w:r>
            <w:r>
              <w:rPr>
                <w:rFonts w:hint="eastAsia"/>
                <w:szCs w:val="21"/>
              </w:rPr>
              <w:t>灯具连接部位应牢固、可靠，隐蔽工程符合图纸要求，隐蔽工程记录</w:t>
            </w:r>
            <w:r>
              <w:rPr>
                <w:rFonts w:hint="eastAsia"/>
                <w:bCs/>
                <w:szCs w:val="21"/>
              </w:rPr>
              <w:t>真实、齐全并提供影像资料，并经监理签字认可</w:t>
            </w:r>
            <w:r>
              <w:rPr>
                <w:rFonts w:hint="eastAsia"/>
                <w:szCs w:val="21"/>
              </w:rPr>
              <w:t>（例如：基坑开挖验收记录、沟槽验收记录、钢筋混凝土灯座验收记录、管道安装验收记录、线缆隐藏验收记录等</w:t>
            </w:r>
            <w:r>
              <w:rPr>
                <w:rFonts w:hint="eastAsia"/>
                <w:bCs/>
                <w:szCs w:val="21"/>
              </w:rPr>
              <w:t>）；</w:t>
            </w:r>
          </w:p>
          <w:p>
            <w:pPr>
              <w:snapToGrid w:val="0"/>
              <w:spacing w:line="276" w:lineRule="auto"/>
              <w:rPr>
                <w:szCs w:val="21"/>
              </w:rPr>
            </w:pPr>
            <w:r>
              <w:rPr>
                <w:rFonts w:hint="eastAsia" w:ascii="宋体" w:hAnsi="宋体"/>
                <w:szCs w:val="21"/>
              </w:rPr>
              <w:t>4</w:t>
            </w:r>
            <w:r>
              <w:rPr>
                <w:rFonts w:ascii="宋体" w:hAnsi="宋体"/>
                <w:szCs w:val="21"/>
              </w:rPr>
              <w:t>.</w:t>
            </w:r>
            <w:r>
              <w:rPr>
                <w:rFonts w:hint="eastAsia" w:ascii="宋体" w:hAnsi="宋体"/>
                <w:szCs w:val="21"/>
              </w:rPr>
              <w:t>采用新材料的须提供耐候性、耐久性、可靠性依据；</w:t>
            </w:r>
          </w:p>
          <w:p>
            <w:pPr>
              <w:snapToGrid w:val="0"/>
              <w:spacing w:line="276" w:lineRule="auto"/>
              <w:rPr>
                <w:szCs w:val="21"/>
              </w:rPr>
            </w:pPr>
            <w:r>
              <w:rPr>
                <w:rFonts w:hint="eastAsia"/>
                <w:szCs w:val="21"/>
              </w:rPr>
              <w:t>5</w:t>
            </w:r>
            <w:r>
              <w:rPr>
                <w:szCs w:val="21"/>
              </w:rPr>
              <w:t>.</w:t>
            </w:r>
            <w:r>
              <w:rPr>
                <w:rFonts w:hint="eastAsia"/>
                <w:szCs w:val="21"/>
              </w:rPr>
              <w:t>合格证、检验记录、检测报告应提供原件且真实有效，检测结果应符合设计要求及相关标准规范要求。</w:t>
            </w:r>
          </w:p>
        </w:tc>
        <w:tc>
          <w:tcPr>
            <w:tcW w:w="2409" w:type="dxa"/>
            <w:vMerge w:val="continue"/>
            <w:tcBorders>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p>
        </w:tc>
        <w:tc>
          <w:tcPr>
            <w:tcW w:w="1701" w:type="dxa"/>
            <w:tcBorders>
              <w:left w:val="single" w:color="auto" w:sz="4" w:space="0"/>
              <w:right w:val="single" w:color="auto" w:sz="4" w:space="0"/>
            </w:tcBorders>
            <w:noWrap w:val="0"/>
            <w:vAlign w:val="center"/>
          </w:tcPr>
          <w:p>
            <w:pPr>
              <w:pStyle w:val="4"/>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包括但不限于材料、施工以及施工管理等方面涉及工程质量性能、安全性、可靠性等方面的质量管理资料；</w:t>
            </w:r>
          </w:p>
          <w:p>
            <w:pPr>
              <w:pStyle w:val="4"/>
              <w:snapToGrid w:val="0"/>
              <w:spacing w:line="288" w:lineRule="auto"/>
              <w:ind w:firstLine="0" w:firstLineChars="0"/>
              <w:jc w:val="left"/>
              <w:rPr>
                <w:rFonts w:hint="eastAsia" w:ascii="宋体" w:hAnsi="宋体"/>
                <w:szCs w:val="21"/>
              </w:rPr>
            </w:pPr>
            <w:r>
              <w:rPr>
                <w:rFonts w:ascii="宋体" w:hAnsi="宋体"/>
                <w:szCs w:val="21"/>
              </w:rPr>
              <w:t>2.</w:t>
            </w:r>
            <w:r>
              <w:rPr>
                <w:rFonts w:hint="eastAsia" w:ascii="宋体" w:hAnsi="宋体"/>
                <w:szCs w:val="21"/>
              </w:rPr>
              <w:t>隐蔽部位的质量管理资料。</w:t>
            </w: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结合工程实体查质量管理资料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计算书</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snapToGrid w:val="0"/>
              <w:spacing w:line="288" w:lineRule="auto"/>
              <w:rPr>
                <w:rFonts w:ascii="宋体" w:hAnsi="宋体"/>
                <w:szCs w:val="21"/>
              </w:rPr>
            </w:pPr>
            <w:r>
              <w:rPr>
                <w:rFonts w:hint="eastAsia" w:ascii="宋体" w:hAnsi="宋体"/>
                <w:szCs w:val="21"/>
              </w:rPr>
              <w:t>配电系统计算；</w:t>
            </w:r>
          </w:p>
          <w:p>
            <w:pPr>
              <w:snapToGrid w:val="0"/>
              <w:spacing w:line="288" w:lineRule="auto"/>
              <w:rPr>
                <w:rFonts w:ascii="宋体" w:hAnsi="宋体"/>
                <w:szCs w:val="21"/>
              </w:rPr>
            </w:pPr>
            <w:r>
              <w:rPr>
                <w:rFonts w:hint="eastAsia" w:ascii="宋体" w:hAnsi="宋体"/>
                <w:szCs w:val="21"/>
              </w:rPr>
              <w:t>2.危险性较大的灯具支撑系统结构计算。</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1.计算出现严重错误（每项扣3-5分）；</w:t>
            </w:r>
          </w:p>
          <w:p>
            <w:pPr>
              <w:snapToGrid w:val="0"/>
              <w:spacing w:line="288" w:lineRule="auto"/>
              <w:rPr>
                <w:rFonts w:ascii="宋体" w:hAnsi="宋体"/>
                <w:szCs w:val="21"/>
              </w:rPr>
            </w:pPr>
            <w:r>
              <w:rPr>
                <w:rFonts w:hint="eastAsia" w:ascii="宋体" w:hAnsi="宋体"/>
                <w:szCs w:val="21"/>
              </w:rPr>
              <w:t>2.其它不符合要求或不合规情况（每项扣0.5-1分）。</w:t>
            </w:r>
          </w:p>
        </w:tc>
        <w:tc>
          <w:tcPr>
            <w:tcW w:w="170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p>
            <w:pPr>
              <w:snapToGrid w:val="0"/>
              <w:spacing w:line="288" w:lineRule="auto"/>
              <w:jc w:val="left"/>
              <w:rPr>
                <w:rFonts w:ascii="宋体" w:hAnsi="宋体"/>
                <w:szCs w:val="21"/>
              </w:rPr>
            </w:pPr>
            <w:r>
              <w:rPr>
                <w:rFonts w:hint="eastAsia" w:ascii="宋体" w:hAnsi="宋体"/>
                <w:szCs w:val="21"/>
              </w:rPr>
              <w:t>重点检查有无计算书及计算出现严重错误情况；</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结合工程实体查计算书、技术资料等。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3</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图纸</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1.竣工图纸应按标准要求编制，审批手续齐全；</w:t>
            </w:r>
          </w:p>
          <w:p>
            <w:pPr>
              <w:snapToGrid w:val="0"/>
              <w:spacing w:line="288" w:lineRule="auto"/>
              <w:rPr>
                <w:szCs w:val="21"/>
              </w:rPr>
            </w:pPr>
            <w:r>
              <w:rPr>
                <w:rFonts w:hint="eastAsia"/>
                <w:szCs w:val="21"/>
              </w:rPr>
              <w:t>2.竣工图内容应包括：目录，设计说明，效果图，平面图，立面图，剖面图，灯具布置图，供电系统图（注明相关供电负荷参数），控制原理及系统图，灯具选型、数量、用途表，灯具安装节点图，灯具线路与幕墙配合预留孔位图等；</w:t>
            </w:r>
          </w:p>
          <w:p>
            <w:pPr>
              <w:snapToGrid w:val="0"/>
              <w:spacing w:line="288" w:lineRule="auto"/>
              <w:rPr>
                <w:szCs w:val="21"/>
              </w:rPr>
            </w:pPr>
            <w:r>
              <w:rPr>
                <w:rFonts w:hint="eastAsia"/>
                <w:szCs w:val="21"/>
              </w:rPr>
              <w:t>3.设计说明应包括如下内容：工程概况、设计参数、设计依据、设计标准、设计范围、配电系统、控制方式、导线的选择和线路敷设、接地及安全措施、节能措施、光污染的限制、灯具安装要求及施工说明；</w:t>
            </w:r>
          </w:p>
          <w:p>
            <w:pPr>
              <w:snapToGrid w:val="0"/>
              <w:spacing w:line="288" w:lineRule="auto"/>
              <w:rPr>
                <w:szCs w:val="21"/>
              </w:rPr>
            </w:pPr>
            <w:r>
              <w:rPr>
                <w:rFonts w:hint="eastAsia"/>
                <w:szCs w:val="21"/>
              </w:rPr>
              <w:t>4.节点图应包括各系统典型安装节点、灯具支撑系统与结构连接节点、灯具拆卸安装节点、电器控制系统安装节点等；</w:t>
            </w:r>
          </w:p>
          <w:p>
            <w:pPr>
              <w:snapToGrid w:val="0"/>
              <w:spacing w:line="288" w:lineRule="auto"/>
              <w:rPr>
                <w:szCs w:val="21"/>
              </w:rPr>
            </w:pPr>
            <w:r>
              <w:rPr>
                <w:rFonts w:hint="eastAsia"/>
                <w:szCs w:val="21"/>
              </w:rPr>
              <w:t>5.灯光演视类工程设计（包括性能、节点构造、使用材料）应符合相关规范和标准的要求；</w:t>
            </w:r>
          </w:p>
          <w:p>
            <w:pPr>
              <w:snapToGrid w:val="0"/>
              <w:spacing w:line="288" w:lineRule="auto"/>
              <w:rPr>
                <w:szCs w:val="21"/>
              </w:rPr>
            </w:pPr>
            <w:r>
              <w:rPr>
                <w:rFonts w:hint="eastAsia"/>
                <w:szCs w:val="21"/>
              </w:rPr>
              <w:t>6.灯具安装不能破坏原有装饰面层、不得有渗水或漏水隐患；不得损伤连接结构，造成安全隐患。寒冷和严寒地区的灯具安装节点中不得有明显冷桥；</w:t>
            </w:r>
          </w:p>
          <w:p>
            <w:pPr>
              <w:snapToGrid w:val="0"/>
              <w:spacing w:line="288" w:lineRule="auto"/>
              <w:rPr>
                <w:szCs w:val="21"/>
              </w:rPr>
            </w:pPr>
            <w:r>
              <w:rPr>
                <w:rFonts w:hint="eastAsia"/>
                <w:szCs w:val="21"/>
              </w:rPr>
              <w:t>7.沿海地区的灯具选用及安装应考虑材料的耐腐蚀处理；</w:t>
            </w:r>
          </w:p>
          <w:p>
            <w:pPr>
              <w:snapToGrid w:val="0"/>
              <w:spacing w:line="288" w:lineRule="auto"/>
              <w:rPr>
                <w:szCs w:val="21"/>
              </w:rPr>
            </w:pPr>
            <w:r>
              <w:rPr>
                <w:rFonts w:hint="eastAsia"/>
                <w:szCs w:val="21"/>
              </w:rPr>
              <w:t>8.既有工程，原有线路利旧使用时应提供原有电路的功率满足新增亮化工程的证明资料。</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ind w:left="283" w:hanging="283" w:hangingChars="135"/>
              <w:rPr>
                <w:rFonts w:ascii="Calibri" w:hAnsi="Calibri"/>
                <w:szCs w:val="21"/>
              </w:rPr>
            </w:pPr>
          </w:p>
          <w:p>
            <w:pPr>
              <w:snapToGrid w:val="0"/>
              <w:spacing w:line="288" w:lineRule="auto"/>
              <w:rPr>
                <w:szCs w:val="21"/>
              </w:rPr>
            </w:pPr>
            <w:r>
              <w:rPr>
                <w:rFonts w:hint="eastAsia" w:ascii="Calibri" w:hAnsi="Calibri"/>
                <w:szCs w:val="21"/>
              </w:rPr>
              <w:t>1.竣</w:t>
            </w:r>
            <w:r>
              <w:rPr>
                <w:rFonts w:hint="eastAsia"/>
                <w:szCs w:val="21"/>
              </w:rPr>
              <w:t>工图没有设计说明或说明不符合要求的（扣3-5分）；</w:t>
            </w:r>
          </w:p>
          <w:p>
            <w:pPr>
              <w:snapToGrid w:val="0"/>
              <w:spacing w:line="288" w:lineRule="auto"/>
              <w:rPr>
                <w:szCs w:val="21"/>
              </w:rPr>
            </w:pPr>
            <w:r>
              <w:rPr>
                <w:rFonts w:hint="eastAsia"/>
                <w:szCs w:val="21"/>
              </w:rPr>
              <w:t>2.缺灯具布置图，供电系统图，控制原理及系统图（每项扣3-5分）；</w:t>
            </w:r>
          </w:p>
          <w:p>
            <w:pPr>
              <w:snapToGrid w:val="0"/>
              <w:spacing w:line="288" w:lineRule="auto"/>
              <w:rPr>
                <w:rFonts w:ascii="Calibri" w:hAnsi="Calibri"/>
                <w:szCs w:val="21"/>
              </w:rPr>
            </w:pPr>
            <w:r>
              <w:rPr>
                <w:rFonts w:hint="eastAsia"/>
                <w:szCs w:val="21"/>
              </w:rPr>
              <w:t>3.其它不符合要求或不合规情况（每项扣1-3分）。</w:t>
            </w:r>
          </w:p>
        </w:tc>
        <w:tc>
          <w:tcPr>
            <w:tcW w:w="1701" w:type="dxa"/>
            <w:tcBorders>
              <w:left w:val="single" w:color="auto" w:sz="4" w:space="0"/>
              <w:right w:val="single" w:color="auto" w:sz="4" w:space="0"/>
            </w:tcBorders>
            <w:noWrap w:val="0"/>
            <w:vAlign w:val="center"/>
          </w:tcPr>
          <w:p>
            <w:pPr>
              <w:snapToGrid w:val="0"/>
              <w:spacing w:line="288" w:lineRule="auto"/>
              <w:rPr>
                <w:szCs w:val="21"/>
              </w:rPr>
            </w:pPr>
          </w:p>
          <w:p>
            <w:pPr>
              <w:snapToGrid w:val="0"/>
              <w:spacing w:line="288" w:lineRule="auto"/>
              <w:rPr>
                <w:szCs w:val="21"/>
              </w:rPr>
            </w:pPr>
            <w:r>
              <w:rPr>
                <w:rFonts w:hint="eastAsia"/>
                <w:szCs w:val="21"/>
              </w:rPr>
              <w:t>1.竣工图纸应齐全规范，签字签章齐全有效；正确使用标准规范，内容正确、齐全、有效。</w:t>
            </w:r>
          </w:p>
          <w:p>
            <w:pPr>
              <w:snapToGrid w:val="0"/>
              <w:spacing w:line="288" w:lineRule="auto"/>
              <w:rPr>
                <w:szCs w:val="21"/>
              </w:rPr>
            </w:pPr>
            <w:r>
              <w:rPr>
                <w:rFonts w:hint="eastAsia"/>
                <w:szCs w:val="21"/>
              </w:rPr>
              <w:t>2.竣工图与工程实体符合性。</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结合工程实体查竣工图纸。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4</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工程实体</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1</w:t>
            </w:r>
            <w:r>
              <w:rPr>
                <w:szCs w:val="21"/>
              </w:rPr>
              <w:t>.</w:t>
            </w:r>
            <w:r>
              <w:rPr>
                <w:rFonts w:hint="eastAsia"/>
                <w:szCs w:val="21"/>
              </w:rPr>
              <w:t>灯光演视类工程夜景效果应当良好；</w:t>
            </w:r>
          </w:p>
          <w:p>
            <w:pPr>
              <w:snapToGrid w:val="0"/>
              <w:spacing w:line="288" w:lineRule="auto"/>
              <w:rPr>
                <w:szCs w:val="21"/>
              </w:rPr>
            </w:pPr>
            <w:r>
              <w:rPr>
                <w:rFonts w:hint="eastAsia"/>
                <w:szCs w:val="21"/>
              </w:rPr>
              <w:t>2</w:t>
            </w:r>
            <w:r>
              <w:rPr>
                <w:szCs w:val="21"/>
              </w:rPr>
              <w:t>.</w:t>
            </w:r>
            <w:r>
              <w:rPr>
                <w:rFonts w:hint="eastAsia"/>
                <w:szCs w:val="21"/>
              </w:rPr>
              <w:t>工程现场实际的做法、使用的材料应与图纸一致，按图施工；</w:t>
            </w:r>
          </w:p>
          <w:p>
            <w:pPr>
              <w:snapToGrid w:val="0"/>
              <w:spacing w:line="288" w:lineRule="auto"/>
              <w:rPr>
                <w:szCs w:val="21"/>
              </w:rPr>
            </w:pPr>
            <w:r>
              <w:rPr>
                <w:rFonts w:hint="eastAsia"/>
                <w:szCs w:val="21"/>
              </w:rPr>
              <w:t>3</w:t>
            </w:r>
            <w:r>
              <w:rPr>
                <w:szCs w:val="21"/>
              </w:rPr>
              <w:t>.</w:t>
            </w:r>
            <w:r>
              <w:rPr>
                <w:rFonts w:hint="eastAsia"/>
                <w:szCs w:val="21"/>
              </w:rPr>
              <w:t>灯具种类、型号、规格、数量、安装方向应当与图纸一致，附件应配套、齐全，外观无缺损，连接件配套、灵活、无卡涩；</w:t>
            </w:r>
          </w:p>
          <w:p>
            <w:pPr>
              <w:snapToGrid w:val="0"/>
              <w:spacing w:line="288" w:lineRule="auto"/>
              <w:rPr>
                <w:szCs w:val="21"/>
              </w:rPr>
            </w:pPr>
            <w:r>
              <w:rPr>
                <w:rFonts w:hint="eastAsia"/>
                <w:szCs w:val="21"/>
              </w:rPr>
              <w:t>4</w:t>
            </w:r>
            <w:r>
              <w:rPr>
                <w:szCs w:val="21"/>
              </w:rPr>
              <w:t>.</w:t>
            </w:r>
            <w:r>
              <w:rPr>
                <w:rFonts w:hint="eastAsia"/>
                <w:szCs w:val="21"/>
              </w:rPr>
              <w:t>灯具及配套电器、开关电源、控制器等电气设备禁止安装在可燃材料表面；</w:t>
            </w:r>
          </w:p>
          <w:p>
            <w:pPr>
              <w:snapToGrid w:val="0"/>
              <w:spacing w:line="288" w:lineRule="auto"/>
              <w:rPr>
                <w:szCs w:val="21"/>
              </w:rPr>
            </w:pPr>
            <w:r>
              <w:rPr>
                <w:rFonts w:hint="eastAsia"/>
                <w:szCs w:val="21"/>
              </w:rPr>
              <w:t>5</w:t>
            </w:r>
            <w:r>
              <w:rPr>
                <w:szCs w:val="21"/>
              </w:rPr>
              <w:t>.</w:t>
            </w:r>
            <w:r>
              <w:rPr>
                <w:rFonts w:hint="eastAsia"/>
                <w:szCs w:val="21"/>
              </w:rPr>
              <w:t>灯具的电缆电线接头应端子连接或刷锡连接、并做防水处理。电缆管内导线不允许有接头，接头要放在接线盒内，并做好防水绝缘处理；</w:t>
            </w:r>
          </w:p>
          <w:p>
            <w:pPr>
              <w:snapToGrid w:val="0"/>
              <w:spacing w:line="288" w:lineRule="auto"/>
              <w:rPr>
                <w:szCs w:val="21"/>
              </w:rPr>
            </w:pPr>
            <w:r>
              <w:rPr>
                <w:rFonts w:hint="eastAsia"/>
                <w:szCs w:val="21"/>
              </w:rPr>
              <w:t>6</w:t>
            </w:r>
            <w:r>
              <w:rPr>
                <w:szCs w:val="21"/>
              </w:rPr>
              <w:t>.</w:t>
            </w:r>
            <w:r>
              <w:rPr>
                <w:rFonts w:hint="eastAsia"/>
                <w:szCs w:val="21"/>
              </w:rPr>
              <w:t>灯具选型均按设计图纸和业主要求为准，各灯具和保护管应做好防雷措施；</w:t>
            </w:r>
          </w:p>
          <w:p>
            <w:pPr>
              <w:snapToGrid w:val="0"/>
              <w:spacing w:line="288" w:lineRule="auto"/>
              <w:rPr>
                <w:szCs w:val="21"/>
              </w:rPr>
            </w:pPr>
            <w:r>
              <w:rPr>
                <w:rFonts w:hint="eastAsia"/>
                <w:szCs w:val="21"/>
              </w:rPr>
              <w:t>7</w:t>
            </w:r>
            <w:r>
              <w:rPr>
                <w:szCs w:val="21"/>
              </w:rPr>
              <w:t>.</w:t>
            </w:r>
            <w:r>
              <w:rPr>
                <w:rFonts w:hint="eastAsia"/>
                <w:szCs w:val="21"/>
              </w:rPr>
              <w:t>灯罩应无破损、与灯具紧密结合；</w:t>
            </w:r>
          </w:p>
          <w:p>
            <w:pPr>
              <w:snapToGrid w:val="0"/>
              <w:spacing w:line="288" w:lineRule="auto"/>
              <w:rPr>
                <w:szCs w:val="21"/>
              </w:rPr>
            </w:pPr>
            <w:r>
              <w:rPr>
                <w:rFonts w:hint="eastAsia"/>
                <w:szCs w:val="21"/>
              </w:rPr>
              <w:t>8</w:t>
            </w:r>
            <w:r>
              <w:rPr>
                <w:szCs w:val="21"/>
              </w:rPr>
              <w:t>.</w:t>
            </w:r>
            <w:r>
              <w:rPr>
                <w:rFonts w:hint="eastAsia"/>
                <w:szCs w:val="21"/>
              </w:rPr>
              <w:t>灯架组装系统中装配顺序应按照制造厂的规定，引出线的截面要满足设计规定，引出线和灯具的连接要紧固、绝缘良好；</w:t>
            </w:r>
          </w:p>
          <w:p>
            <w:pPr>
              <w:snapToGrid w:val="0"/>
              <w:spacing w:line="288" w:lineRule="auto"/>
              <w:rPr>
                <w:szCs w:val="21"/>
              </w:rPr>
            </w:pPr>
            <w:r>
              <w:rPr>
                <w:rFonts w:hint="eastAsia"/>
                <w:szCs w:val="21"/>
              </w:rPr>
              <w:t>9</w:t>
            </w:r>
            <w:r>
              <w:rPr>
                <w:szCs w:val="21"/>
              </w:rPr>
              <w:t>.</w:t>
            </w:r>
            <w:r>
              <w:rPr>
                <w:rFonts w:hint="eastAsia"/>
                <w:szCs w:val="21"/>
              </w:rPr>
              <w:t>电缆敷设涉及到道路或路面开挖的情况时，电缆埋设完毕后须进行原状恢复；</w:t>
            </w:r>
          </w:p>
          <w:p>
            <w:pPr>
              <w:snapToGrid w:val="0"/>
              <w:spacing w:line="288" w:lineRule="auto"/>
              <w:rPr>
                <w:szCs w:val="21"/>
              </w:rPr>
            </w:pPr>
            <w:r>
              <w:rPr>
                <w:rFonts w:hint="eastAsia"/>
                <w:szCs w:val="21"/>
              </w:rPr>
              <w:t>1</w:t>
            </w:r>
            <w:r>
              <w:rPr>
                <w:szCs w:val="21"/>
              </w:rPr>
              <w:t>0.</w:t>
            </w:r>
            <w:r>
              <w:rPr>
                <w:rFonts w:hint="eastAsia"/>
                <w:szCs w:val="21"/>
              </w:rPr>
              <w:t>检查夜景灯光应具有连续性、稳定性，避免形成眩光；</w:t>
            </w:r>
          </w:p>
          <w:p>
            <w:pPr>
              <w:snapToGrid w:val="0"/>
              <w:spacing w:line="288" w:lineRule="auto"/>
              <w:rPr>
                <w:szCs w:val="21"/>
              </w:rPr>
            </w:pPr>
            <w:r>
              <w:rPr>
                <w:rFonts w:hint="eastAsia"/>
                <w:szCs w:val="21"/>
              </w:rPr>
              <w:t>11．有人员接触场景的，必须使用安全电压供电；</w:t>
            </w:r>
          </w:p>
          <w:p>
            <w:pPr>
              <w:snapToGrid w:val="0"/>
              <w:spacing w:line="288" w:lineRule="auto"/>
              <w:rPr>
                <w:szCs w:val="21"/>
              </w:rPr>
            </w:pPr>
            <w:r>
              <w:rPr>
                <w:rFonts w:hint="eastAsia"/>
                <w:szCs w:val="21"/>
              </w:rPr>
              <w:t>1</w:t>
            </w:r>
            <w:r>
              <w:rPr>
                <w:szCs w:val="21"/>
              </w:rPr>
              <w:t>2.</w:t>
            </w:r>
            <w:r>
              <w:rPr>
                <w:rFonts w:hint="eastAsia"/>
                <w:szCs w:val="21"/>
              </w:rPr>
              <w:t>水下安装的灯具应采用安全特低电压供电，其交流电压值不应大于12V，无纹波直流供电不应大于30V，且水下无接头；</w:t>
            </w:r>
          </w:p>
          <w:p>
            <w:pPr>
              <w:snapToGrid w:val="0"/>
              <w:spacing w:line="288" w:lineRule="auto"/>
              <w:rPr>
                <w:szCs w:val="21"/>
              </w:rPr>
            </w:pPr>
            <w:r>
              <w:rPr>
                <w:rFonts w:hint="eastAsia"/>
                <w:szCs w:val="21"/>
              </w:rPr>
              <w:t>1</w:t>
            </w:r>
            <w:r>
              <w:rPr>
                <w:szCs w:val="21"/>
              </w:rPr>
              <w:t>3.</w:t>
            </w:r>
            <w:r>
              <w:rPr>
                <w:rFonts w:hint="eastAsia"/>
                <w:szCs w:val="21"/>
              </w:rPr>
              <w:t>安装在建筑幕墙、采光顶、金属屋面的灯光亮化工程，不得破坏装饰面层，没有渗水漏水情况，不破坏幕墙等原有连接结构；</w:t>
            </w:r>
          </w:p>
          <w:p>
            <w:pPr>
              <w:snapToGrid w:val="0"/>
              <w:spacing w:line="288" w:lineRule="auto"/>
              <w:rPr>
                <w:szCs w:val="21"/>
              </w:rPr>
            </w:pPr>
            <w:r>
              <w:rPr>
                <w:rFonts w:hint="eastAsia"/>
                <w:szCs w:val="21"/>
              </w:rPr>
              <w:t>1</w:t>
            </w:r>
            <w:r>
              <w:rPr>
                <w:szCs w:val="21"/>
              </w:rPr>
              <w:t>4.</w:t>
            </w:r>
            <w:r>
              <w:rPr>
                <w:rFonts w:hint="eastAsia"/>
                <w:szCs w:val="21"/>
              </w:rPr>
              <w:t>人员可触及的照明设备使用温度高于60℃时应采取隔离保护措施；</w:t>
            </w:r>
          </w:p>
          <w:p>
            <w:pPr>
              <w:snapToGrid w:val="0"/>
              <w:spacing w:line="288" w:lineRule="auto"/>
              <w:rPr>
                <w:szCs w:val="21"/>
              </w:rPr>
            </w:pPr>
            <w:r>
              <w:rPr>
                <w:rFonts w:hint="eastAsia"/>
                <w:szCs w:val="21"/>
              </w:rPr>
              <w:t>1</w:t>
            </w:r>
            <w:r>
              <w:rPr>
                <w:szCs w:val="21"/>
              </w:rPr>
              <w:t>5.</w:t>
            </w:r>
            <w:r>
              <w:rPr>
                <w:rFonts w:hint="eastAsia"/>
                <w:szCs w:val="21"/>
              </w:rPr>
              <w:t>当采用Ⅰ</w:t>
            </w:r>
            <w:r>
              <w:rPr>
                <w:szCs w:val="21"/>
              </w:rPr>
              <w:t>类灯具</w:t>
            </w:r>
            <w:r>
              <w:rPr>
                <w:rFonts w:hint="eastAsia"/>
                <w:szCs w:val="21"/>
              </w:rPr>
              <w:t>时，灯具</w:t>
            </w:r>
            <w:r>
              <w:rPr>
                <w:szCs w:val="21"/>
              </w:rPr>
              <w:t>的外露导电部分应</w:t>
            </w:r>
            <w:r>
              <w:rPr>
                <w:rFonts w:hint="eastAsia"/>
                <w:szCs w:val="21"/>
              </w:rPr>
              <w:t>可靠</w:t>
            </w:r>
            <w:r>
              <w:rPr>
                <w:szCs w:val="21"/>
              </w:rPr>
              <w:t>接地</w:t>
            </w:r>
            <w:r>
              <w:rPr>
                <w:rFonts w:hint="eastAsia"/>
                <w:szCs w:val="21"/>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p>
          <w:p>
            <w:pPr>
              <w:snapToGrid w:val="0"/>
              <w:spacing w:line="288" w:lineRule="auto"/>
              <w:rPr>
                <w:szCs w:val="21"/>
              </w:rPr>
            </w:pPr>
            <w:r>
              <w:rPr>
                <w:rFonts w:hint="eastAsia"/>
                <w:szCs w:val="21"/>
              </w:rPr>
              <w:t>1</w:t>
            </w:r>
            <w:r>
              <w:rPr>
                <w:szCs w:val="21"/>
              </w:rPr>
              <w:t>.</w:t>
            </w:r>
            <w:r>
              <w:rPr>
                <w:rFonts w:hint="eastAsia"/>
                <w:szCs w:val="21"/>
              </w:rPr>
              <w:t>工程存在严重质量问题（每项扣10-20分）；</w:t>
            </w:r>
          </w:p>
          <w:p>
            <w:pPr>
              <w:snapToGrid w:val="0"/>
              <w:spacing w:line="288" w:lineRule="auto"/>
              <w:rPr>
                <w:szCs w:val="21"/>
              </w:rPr>
            </w:pPr>
            <w:r>
              <w:rPr>
                <w:rFonts w:hint="eastAsia"/>
                <w:szCs w:val="21"/>
              </w:rPr>
              <w:t>2</w:t>
            </w:r>
            <w:r>
              <w:rPr>
                <w:szCs w:val="21"/>
              </w:rPr>
              <w:t>.</w:t>
            </w:r>
            <w:r>
              <w:rPr>
                <w:rFonts w:hint="eastAsia"/>
                <w:szCs w:val="21"/>
              </w:rPr>
              <w:t>施工现场擅自在幕墙支撑系统上开孔拉线连接灯具（每项扣1-3分）；</w:t>
            </w:r>
          </w:p>
          <w:p>
            <w:pPr>
              <w:snapToGrid w:val="0"/>
              <w:spacing w:line="288" w:lineRule="auto"/>
              <w:rPr>
                <w:szCs w:val="21"/>
              </w:rPr>
            </w:pPr>
            <w:r>
              <w:rPr>
                <w:rFonts w:hint="eastAsia"/>
                <w:szCs w:val="21"/>
              </w:rPr>
              <w:t>3</w:t>
            </w:r>
            <w:r>
              <w:rPr>
                <w:szCs w:val="21"/>
              </w:rPr>
              <w:t>.</w:t>
            </w:r>
            <w:r>
              <w:rPr>
                <w:rFonts w:hint="eastAsia"/>
                <w:szCs w:val="21"/>
              </w:rPr>
              <w:t>其它不符合要求或不合规情况（每项扣0.5-5分）。</w:t>
            </w:r>
          </w:p>
        </w:tc>
        <w:tc>
          <w:tcPr>
            <w:tcW w:w="1701" w:type="dxa"/>
            <w:tcBorders>
              <w:left w:val="single" w:color="auto" w:sz="4" w:space="0"/>
              <w:right w:val="single" w:color="auto" w:sz="4" w:space="0"/>
            </w:tcBorders>
            <w:noWrap w:val="0"/>
            <w:vAlign w:val="center"/>
          </w:tcPr>
          <w:p>
            <w:pPr>
              <w:snapToGrid w:val="0"/>
              <w:spacing w:line="288" w:lineRule="auto"/>
              <w:rPr>
                <w:szCs w:val="21"/>
              </w:rPr>
            </w:pPr>
          </w:p>
          <w:p>
            <w:pPr>
              <w:snapToGrid w:val="0"/>
              <w:spacing w:line="288" w:lineRule="auto"/>
              <w:rPr>
                <w:szCs w:val="21"/>
              </w:rPr>
            </w:pPr>
            <w:r>
              <w:rPr>
                <w:rFonts w:hint="eastAsia"/>
                <w:szCs w:val="21"/>
              </w:rPr>
              <w:t>1.工程实体外观质量及整体效果。</w:t>
            </w:r>
          </w:p>
          <w:p>
            <w:pPr>
              <w:snapToGrid w:val="0"/>
              <w:spacing w:line="288" w:lineRule="auto"/>
              <w:rPr>
                <w:szCs w:val="21"/>
              </w:rPr>
            </w:pPr>
            <w:r>
              <w:rPr>
                <w:rFonts w:hint="eastAsia"/>
                <w:szCs w:val="21"/>
              </w:rPr>
              <w:t>2.做工精细程度及材料质量。</w:t>
            </w:r>
          </w:p>
          <w:p>
            <w:pPr>
              <w:snapToGrid w:val="0"/>
              <w:spacing w:line="288" w:lineRule="auto"/>
              <w:rPr>
                <w:szCs w:val="21"/>
              </w:rPr>
            </w:pPr>
            <w:r>
              <w:rPr>
                <w:rFonts w:hint="eastAsia"/>
                <w:szCs w:val="21"/>
              </w:rPr>
              <w:t>3.工程实体与图纸、质量管理资料的符合性。</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40分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结合图纸、质量管理资料等查工程实体。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trPr>
        <w:tc>
          <w:tcPr>
            <w:tcW w:w="567" w:type="dxa"/>
            <w:tcBorders>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5</w:t>
            </w:r>
          </w:p>
        </w:tc>
        <w:tc>
          <w:tcPr>
            <w:tcW w:w="1277"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ascii="宋体" w:hAnsi="宋体"/>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szCs w:val="21"/>
              </w:rPr>
            </w:pPr>
            <w:r>
              <w:rPr>
                <w:rFonts w:hint="eastAsia" w:ascii="Calibri" w:hAnsi="Calibri"/>
                <w:szCs w:val="21"/>
              </w:rPr>
              <w:t>1</w:t>
            </w:r>
            <w:r>
              <w:rPr>
                <w:rFonts w:ascii="Calibri" w:hAnsi="Calibri"/>
                <w:szCs w:val="21"/>
              </w:rPr>
              <w:t>.</w:t>
            </w:r>
            <w:r>
              <w:rPr>
                <w:rFonts w:hint="eastAsia" w:ascii="Calibri" w:hAnsi="Calibri"/>
                <w:szCs w:val="21"/>
              </w:rPr>
              <w:t>创新技术、工艺、工法等；</w:t>
            </w:r>
          </w:p>
          <w:p>
            <w:pPr>
              <w:snapToGrid w:val="0"/>
              <w:spacing w:line="360" w:lineRule="auto"/>
              <w:rPr>
                <w:rFonts w:ascii="Calibri" w:hAnsi="Calibri"/>
                <w:szCs w:val="21"/>
              </w:rPr>
            </w:pPr>
            <w:r>
              <w:rPr>
                <w:rFonts w:hint="eastAsia"/>
                <w:szCs w:val="21"/>
              </w:rPr>
              <w:t>2</w:t>
            </w:r>
            <w:r>
              <w:rPr>
                <w:szCs w:val="21"/>
              </w:rPr>
              <w:t>.</w:t>
            </w:r>
            <w:r>
              <w:rPr>
                <w:rFonts w:hint="eastAsia"/>
                <w:szCs w:val="21"/>
              </w:rPr>
              <w:t>采用了新材</w:t>
            </w:r>
            <w:r>
              <w:rPr>
                <w:rFonts w:hint="eastAsia" w:ascii="Calibri" w:hAnsi="Calibri"/>
                <w:szCs w:val="21"/>
              </w:rPr>
              <w:t>料、新工艺、新技术或有利于环保节能等的材料、技术、措施、工艺、工法等；</w:t>
            </w:r>
          </w:p>
          <w:p>
            <w:pPr>
              <w:snapToGrid w:val="0"/>
              <w:spacing w:line="360" w:lineRule="auto"/>
              <w:rPr>
                <w:rFonts w:ascii="Calibri" w:hAnsi="Calibri"/>
                <w:szCs w:val="21"/>
              </w:rPr>
            </w:pPr>
            <w:r>
              <w:rPr>
                <w:rFonts w:hint="eastAsia" w:ascii="Calibri" w:hAnsi="Calibri"/>
                <w:szCs w:val="21"/>
              </w:rPr>
              <w:t>3</w:t>
            </w:r>
            <w:r>
              <w:rPr>
                <w:rFonts w:ascii="Calibri" w:hAnsi="Calibri"/>
                <w:szCs w:val="21"/>
              </w:rPr>
              <w:t>.</w:t>
            </w:r>
            <w:r>
              <w:rPr>
                <w:rFonts w:hint="eastAsia" w:ascii="Calibri" w:hAnsi="Calibri"/>
                <w:szCs w:val="21"/>
              </w:rPr>
              <w:t>获得了与申报工程相关的发明专利、实用新型专利、省级或以上工艺工法等；</w:t>
            </w:r>
          </w:p>
          <w:p>
            <w:pPr>
              <w:snapToGrid w:val="0"/>
              <w:spacing w:line="360" w:lineRule="auto"/>
              <w:rPr>
                <w:szCs w:val="21"/>
              </w:rPr>
            </w:pPr>
            <w:r>
              <w:rPr>
                <w:rFonts w:hint="eastAsia" w:ascii="Calibri" w:hAnsi="Calibri"/>
                <w:szCs w:val="21"/>
              </w:rPr>
              <w:t>4</w:t>
            </w:r>
            <w:r>
              <w:rPr>
                <w:rFonts w:ascii="Calibri" w:hAnsi="Calibri"/>
                <w:szCs w:val="21"/>
              </w:rPr>
              <w:t>.</w:t>
            </w:r>
            <w:r>
              <w:rPr>
                <w:rFonts w:hint="eastAsia" w:ascii="Calibri" w:hAnsi="Calibri"/>
                <w:szCs w:val="21"/>
              </w:rPr>
              <w:t>本工程已获得中装协建筑装饰行</w:t>
            </w:r>
            <w:r>
              <w:rPr>
                <w:rFonts w:hint="eastAsia"/>
                <w:szCs w:val="21"/>
              </w:rPr>
              <w:t>业科学技术奖。</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缺少其中内容，扣0.5-3分。</w:t>
            </w:r>
          </w:p>
        </w:tc>
        <w:tc>
          <w:tcPr>
            <w:tcW w:w="1701"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p>
        </w:tc>
        <w:tc>
          <w:tcPr>
            <w:tcW w:w="851"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查：工程实体、图纸、质量管理与技术资料等。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7"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6</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snapToGrid w:val="0"/>
              <w:spacing w:line="360" w:lineRule="auto"/>
              <w:ind w:hanging="360"/>
              <w:rPr>
                <w:szCs w:val="21"/>
              </w:rPr>
            </w:pPr>
            <w:r>
              <w:rPr>
                <w:rFonts w:hint="eastAsia"/>
                <w:szCs w:val="21"/>
              </w:rPr>
              <w:t>1</w:t>
            </w:r>
            <w:r>
              <w:rPr>
                <w:szCs w:val="21"/>
              </w:rPr>
              <w:t>.</w:t>
            </w:r>
            <w:r>
              <w:rPr>
                <w:rFonts w:hint="eastAsia"/>
                <w:szCs w:val="21"/>
              </w:rPr>
              <w:t>资料准备应充分有序，易于查找</w:t>
            </w:r>
          </w:p>
          <w:p>
            <w:pPr>
              <w:numPr>
                <w:ilvl w:val="0"/>
                <w:numId w:val="5"/>
              </w:numPr>
              <w:snapToGrid w:val="0"/>
              <w:spacing w:line="360" w:lineRule="auto"/>
              <w:ind w:hanging="360"/>
              <w:rPr>
                <w:szCs w:val="21"/>
              </w:rPr>
            </w:pPr>
            <w:r>
              <w:rPr>
                <w:rFonts w:hint="eastAsia"/>
                <w:szCs w:val="21"/>
              </w:rPr>
              <w:t>2</w:t>
            </w:r>
            <w:r>
              <w:rPr>
                <w:szCs w:val="21"/>
              </w:rPr>
              <w:t>.</w:t>
            </w:r>
            <w:r>
              <w:rPr>
                <w:rFonts w:hint="eastAsia"/>
                <w:szCs w:val="21"/>
              </w:rPr>
              <w:t>提交的照片需清晰，不得进行补光等修补处理；</w:t>
            </w:r>
          </w:p>
          <w:p>
            <w:pPr>
              <w:numPr>
                <w:ilvl w:val="0"/>
                <w:numId w:val="5"/>
              </w:numPr>
              <w:snapToGrid w:val="0"/>
              <w:spacing w:line="360" w:lineRule="auto"/>
              <w:ind w:hanging="360"/>
              <w:rPr>
                <w:szCs w:val="21"/>
              </w:rPr>
            </w:pPr>
            <w:r>
              <w:rPr>
                <w:rFonts w:hint="eastAsia"/>
                <w:szCs w:val="21"/>
              </w:rPr>
              <w:t>3</w:t>
            </w:r>
            <w:r>
              <w:rPr>
                <w:szCs w:val="21"/>
              </w:rPr>
              <w:t>.</w:t>
            </w:r>
            <w:r>
              <w:rPr>
                <w:rFonts w:hint="eastAsia"/>
                <w:szCs w:val="21"/>
              </w:rPr>
              <w:t>实景照片（电子版）应包括全景照片和能反映工程特色的局部照片；</w:t>
            </w:r>
          </w:p>
          <w:p>
            <w:pPr>
              <w:numPr>
                <w:ilvl w:val="0"/>
                <w:numId w:val="5"/>
              </w:numPr>
              <w:snapToGrid w:val="0"/>
              <w:spacing w:line="360" w:lineRule="auto"/>
              <w:ind w:hanging="360"/>
              <w:rPr>
                <w:szCs w:val="21"/>
              </w:rPr>
            </w:pPr>
            <w:r>
              <w:rPr>
                <w:rFonts w:hint="eastAsia"/>
                <w:szCs w:val="21"/>
              </w:rPr>
              <w:t>4</w:t>
            </w:r>
            <w:r>
              <w:rPr>
                <w:szCs w:val="21"/>
              </w:rPr>
              <w:t>.</w:t>
            </w:r>
            <w:r>
              <w:rPr>
                <w:rFonts w:hint="eastAsia"/>
                <w:szCs w:val="21"/>
              </w:rPr>
              <w:t>应提供动态媒体视频；</w:t>
            </w:r>
          </w:p>
          <w:p>
            <w:pPr>
              <w:numPr>
                <w:ilvl w:val="0"/>
                <w:numId w:val="5"/>
              </w:numPr>
              <w:snapToGrid w:val="0"/>
              <w:spacing w:line="360" w:lineRule="auto"/>
              <w:ind w:hanging="360"/>
              <w:rPr>
                <w:szCs w:val="21"/>
              </w:rPr>
            </w:pPr>
            <w:r>
              <w:rPr>
                <w:szCs w:val="21"/>
              </w:rPr>
              <w:t>5.</w:t>
            </w:r>
            <w:r>
              <w:rPr>
                <w:rFonts w:hint="eastAsia"/>
                <w:szCs w:val="21"/>
              </w:rPr>
              <w:t>P</w:t>
            </w:r>
            <w:r>
              <w:rPr>
                <w:szCs w:val="21"/>
              </w:rPr>
              <w:t>PT</w:t>
            </w:r>
            <w:r>
              <w:rPr>
                <w:rFonts w:hint="eastAsia"/>
                <w:szCs w:val="21"/>
              </w:rPr>
              <w:t>汇报资料应包括如下内容：工程概况、施工范围、开竣工时间、合同造价、施工管理质量保障措施、施工亮点和难点等；</w:t>
            </w:r>
          </w:p>
          <w:p>
            <w:pPr>
              <w:numPr>
                <w:ilvl w:val="0"/>
                <w:numId w:val="5"/>
              </w:numPr>
              <w:snapToGrid w:val="0"/>
              <w:spacing w:line="360" w:lineRule="auto"/>
              <w:ind w:hanging="360"/>
              <w:rPr>
                <w:szCs w:val="21"/>
              </w:rPr>
            </w:pPr>
            <w:r>
              <w:rPr>
                <w:szCs w:val="21"/>
              </w:rPr>
              <w:t>6.</w:t>
            </w:r>
            <w:r>
              <w:rPr>
                <w:rFonts w:hint="eastAsia"/>
                <w:szCs w:val="21"/>
              </w:rPr>
              <w:t>检查时顺畅不受阻。</w:t>
            </w:r>
          </w:p>
          <w:p>
            <w:pPr>
              <w:numPr>
                <w:ilvl w:val="0"/>
                <w:numId w:val="5"/>
              </w:numPr>
              <w:snapToGrid w:val="0"/>
              <w:spacing w:line="360" w:lineRule="auto"/>
              <w:ind w:hanging="360"/>
              <w:rPr>
                <w:szCs w:val="21"/>
              </w:rPr>
            </w:pPr>
            <w:r>
              <w:rPr>
                <w:rFonts w:hint="eastAsia"/>
                <w:szCs w:val="21"/>
              </w:rPr>
              <w:t>7</w:t>
            </w:r>
            <w:r>
              <w:rPr>
                <w:szCs w:val="21"/>
              </w:rPr>
              <w:t>.</w:t>
            </w:r>
            <w:r>
              <w:rPr>
                <w:rFonts w:hint="eastAsia"/>
                <w:szCs w:val="21"/>
              </w:rPr>
              <w:t>用户意见</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szCs w:val="21"/>
              </w:rPr>
            </w:pPr>
            <w:r>
              <w:rPr>
                <w:rFonts w:hint="eastAsia"/>
                <w:szCs w:val="21"/>
              </w:rPr>
              <w:t>1</w:t>
            </w:r>
            <w:r>
              <w:rPr>
                <w:szCs w:val="21"/>
              </w:rPr>
              <w:t>.</w:t>
            </w:r>
            <w:r>
              <w:rPr>
                <w:rFonts w:hint="eastAsia"/>
                <w:szCs w:val="21"/>
              </w:rPr>
              <w:t>工程施工主要负责人均未到场扣5分；</w:t>
            </w:r>
          </w:p>
          <w:p>
            <w:pPr>
              <w:snapToGrid w:val="0"/>
              <w:spacing w:line="276" w:lineRule="auto"/>
              <w:rPr>
                <w:szCs w:val="21"/>
              </w:rPr>
            </w:pPr>
            <w:r>
              <w:rPr>
                <w:rFonts w:hint="eastAsia"/>
                <w:szCs w:val="21"/>
              </w:rPr>
              <w:t>2</w:t>
            </w:r>
            <w:r>
              <w:rPr>
                <w:szCs w:val="21"/>
              </w:rPr>
              <w:t>.</w:t>
            </w:r>
            <w:r>
              <w:rPr>
                <w:rFonts w:hint="eastAsia"/>
                <w:szCs w:val="21"/>
              </w:rPr>
              <w:t>照片进行修补的（扣1-2分）；</w:t>
            </w:r>
          </w:p>
          <w:p>
            <w:pPr>
              <w:snapToGrid w:val="0"/>
              <w:spacing w:line="276" w:lineRule="auto"/>
              <w:rPr>
                <w:szCs w:val="21"/>
              </w:rPr>
            </w:pPr>
            <w:r>
              <w:rPr>
                <w:rFonts w:hint="eastAsia"/>
                <w:szCs w:val="21"/>
              </w:rPr>
              <w:t>3</w:t>
            </w:r>
            <w:r>
              <w:rPr>
                <w:szCs w:val="21"/>
              </w:rPr>
              <w:t>.</w:t>
            </w:r>
            <w:r>
              <w:rPr>
                <w:rFonts w:hint="eastAsia"/>
                <w:szCs w:val="21"/>
              </w:rPr>
              <w:t>资料准备无序不齐全（扣1-2分）；</w:t>
            </w:r>
          </w:p>
          <w:p>
            <w:pPr>
              <w:snapToGrid w:val="0"/>
              <w:spacing w:line="276" w:lineRule="auto"/>
              <w:rPr>
                <w:szCs w:val="21"/>
              </w:rPr>
            </w:pPr>
            <w:r>
              <w:rPr>
                <w:rFonts w:hint="eastAsia"/>
                <w:szCs w:val="21"/>
              </w:rPr>
              <w:t>4</w:t>
            </w:r>
            <w:r>
              <w:rPr>
                <w:szCs w:val="21"/>
              </w:rPr>
              <w:t>.</w:t>
            </w:r>
            <w:r>
              <w:rPr>
                <w:rFonts w:hint="eastAsia"/>
                <w:szCs w:val="21"/>
              </w:rPr>
              <w:t>动态媒体视频不佳（扣1-5分）；</w:t>
            </w:r>
          </w:p>
          <w:p>
            <w:pPr>
              <w:snapToGrid w:val="0"/>
              <w:spacing w:line="276" w:lineRule="auto"/>
              <w:rPr>
                <w:szCs w:val="21"/>
              </w:rPr>
            </w:pPr>
            <w:r>
              <w:rPr>
                <w:rFonts w:hint="eastAsia"/>
                <w:szCs w:val="21"/>
              </w:rPr>
              <w:t>5</w:t>
            </w:r>
            <w:r>
              <w:rPr>
                <w:szCs w:val="21"/>
              </w:rPr>
              <w:t>.</w:t>
            </w:r>
            <w:r>
              <w:rPr>
                <w:rFonts w:hint="eastAsia"/>
                <w:szCs w:val="21"/>
              </w:rPr>
              <w:t>未提供PPT汇报资料（扣10分）；</w:t>
            </w:r>
          </w:p>
          <w:p>
            <w:pPr>
              <w:snapToGrid w:val="0"/>
              <w:spacing w:line="276" w:lineRule="auto"/>
              <w:rPr>
                <w:szCs w:val="21"/>
              </w:rPr>
            </w:pPr>
            <w:r>
              <w:rPr>
                <w:rFonts w:hint="eastAsia"/>
                <w:szCs w:val="21"/>
              </w:rPr>
              <w:t>6</w:t>
            </w:r>
            <w:r>
              <w:rPr>
                <w:szCs w:val="21"/>
              </w:rPr>
              <w:t>.</w:t>
            </w:r>
            <w:r>
              <w:rPr>
                <w:rFonts w:hint="eastAsia"/>
                <w:szCs w:val="21"/>
              </w:rPr>
              <w:t>其它不规范、不到位情况</w:t>
            </w:r>
            <w:r>
              <w:rPr>
                <w:rFonts w:hint="eastAsia"/>
                <w:spacing w:val="-6"/>
                <w:szCs w:val="21"/>
              </w:rPr>
              <w:t>（每项扣1-3分）。</w:t>
            </w:r>
          </w:p>
        </w:tc>
        <w:tc>
          <w:tcPr>
            <w:tcW w:w="1701" w:type="dxa"/>
            <w:tcBorders>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人员、资料、过程安排准备不足；未做PPT汇报资料等</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查：</w:t>
            </w:r>
          </w:p>
          <w:p>
            <w:pPr>
              <w:snapToGrid w:val="0"/>
              <w:spacing w:line="288" w:lineRule="auto"/>
              <w:rPr>
                <w:szCs w:val="21"/>
              </w:rPr>
            </w:pPr>
            <w:r>
              <w:rPr>
                <w:rFonts w:hint="eastAsia"/>
                <w:szCs w:val="21"/>
              </w:rPr>
              <w:t>1</w:t>
            </w:r>
            <w:r>
              <w:rPr>
                <w:szCs w:val="21"/>
              </w:rPr>
              <w:t>.</w:t>
            </w:r>
            <w:r>
              <w:rPr>
                <w:rFonts w:hint="eastAsia"/>
                <w:szCs w:val="21"/>
              </w:rPr>
              <w:t>组织准备情况；</w:t>
            </w:r>
          </w:p>
          <w:p>
            <w:pPr>
              <w:snapToGrid w:val="0"/>
              <w:spacing w:line="288" w:lineRule="auto"/>
              <w:rPr>
                <w:szCs w:val="21"/>
              </w:rPr>
            </w:pPr>
            <w:r>
              <w:rPr>
                <w:szCs w:val="21"/>
              </w:rPr>
              <w:t>2.</w:t>
            </w:r>
            <w:r>
              <w:rPr>
                <w:rFonts w:hint="eastAsia"/>
                <w:szCs w:val="21"/>
              </w:rPr>
              <w:t>PPT（项目概况、施工范围、重点难点亮点、施工过程中情况图片等，汇报时间15分钟内）；</w:t>
            </w:r>
          </w:p>
          <w:p>
            <w:pPr>
              <w:snapToGrid w:val="0"/>
              <w:spacing w:line="288" w:lineRule="auto"/>
              <w:rPr>
                <w:szCs w:val="21"/>
              </w:rPr>
            </w:pPr>
            <w:r>
              <w:rPr>
                <w:szCs w:val="21"/>
              </w:rPr>
              <w:t>3.</w:t>
            </w:r>
            <w:r>
              <w:rPr>
                <w:rFonts w:hint="eastAsia"/>
                <w:szCs w:val="21"/>
              </w:rPr>
              <w:t>用户意见。</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05131"/>
    <w:multiLevelType w:val="singleLevel"/>
    <w:tmpl w:val="DB105131"/>
    <w:lvl w:ilvl="0" w:tentative="0">
      <w:start w:val="1"/>
      <w:numFmt w:val="decimal"/>
      <w:lvlText w:val="%1."/>
      <w:lvlJc w:val="left"/>
      <w:pPr>
        <w:ind w:left="425" w:hanging="425"/>
      </w:pPr>
      <w:rPr>
        <w:rFonts w:hint="default"/>
      </w:rPr>
    </w:lvl>
  </w:abstractNum>
  <w:abstractNum w:abstractNumId="1">
    <w:nsid w:val="E3E605B1"/>
    <w:multiLevelType w:val="singleLevel"/>
    <w:tmpl w:val="E3E605B1"/>
    <w:lvl w:ilvl="0" w:tentative="0">
      <w:start w:val="1"/>
      <w:numFmt w:val="decimal"/>
      <w:lvlText w:val="%1."/>
      <w:lvlJc w:val="left"/>
      <w:pPr>
        <w:ind w:left="0" w:firstLine="0"/>
      </w:pPr>
      <w:rPr>
        <w:rFonts w:hint="default"/>
      </w:rPr>
    </w:lvl>
  </w:abstractNum>
  <w:abstractNum w:abstractNumId="2">
    <w:nsid w:val="343E927F"/>
    <w:multiLevelType w:val="singleLevel"/>
    <w:tmpl w:val="343E927F"/>
    <w:lvl w:ilvl="0" w:tentative="0">
      <w:start w:val="1"/>
      <w:numFmt w:val="chineseCounting"/>
      <w:suff w:val="nothing"/>
      <w:lvlText w:val="%1、"/>
      <w:lvlJc w:val="left"/>
      <w:rPr>
        <w:rFonts w:hint="eastAsia"/>
      </w:rPr>
    </w:lvl>
  </w:abstractNum>
  <w:abstractNum w:abstractNumId="3">
    <w:nsid w:val="3F362BDC"/>
    <w:multiLevelType w:val="multilevel"/>
    <w:tmpl w:val="3F362BDC"/>
    <w:lvl w:ilvl="0" w:tentative="0">
      <w:start w:val="1"/>
      <w:numFmt w:val="decimal"/>
      <w:lvlText w:val="%1."/>
      <w:lvlJc w:val="left"/>
      <w:pPr>
        <w:ind w:left="84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72194A"/>
    <w:multiLevelType w:val="multilevel"/>
    <w:tmpl w:val="4472194A"/>
    <w:lvl w:ilvl="0" w:tentative="0">
      <w:start w:val="1"/>
      <w:numFmt w:val="decimal"/>
      <w:lvlText w:val="%1、"/>
      <w:lvlJc w:val="left"/>
      <w:pPr>
        <w:ind w:left="360" w:hanging="360"/>
      </w:pPr>
      <w:rPr>
        <w:rFonts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Q3YzU1NjY3ODVhZmZlOWNmMzYyM2Q5NzNiNTMifQ=="/>
  </w:docVars>
  <w:rsids>
    <w:rsidRoot w:val="3DFD5E85"/>
    <w:rsid w:val="3DFD5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2024-03-12T10:58:00Z</dcterms:created>
  <dc:creator>李艳</dc:creator>
  <cp:lastModifiedBy>李艳</cp:lastModifiedBy>
  <dcterms:modified xsi:type="dcterms:W3CDTF">2024-03-12T10:58:49Z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FE0A98F4E54342379DF80285E13B47F4_11</vt:lpwstr>
  </property>
</Properties>
</file>