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outlineLvl w:val="1"/>
        <w:rPr>
          <w:rFonts w:hint="eastAsia" w:ascii="黑体" w:hAnsi="黑体" w:eastAsia="黑体" w:cs="黑体"/>
          <w:spacing w:val="-4"/>
          <w:sz w:val="32"/>
          <w:szCs w:val="32"/>
        </w:rPr>
      </w:pPr>
      <w:bookmarkStart w:id="0" w:name="_Toc10738"/>
      <w:r>
        <w:rPr>
          <w:rFonts w:hint="eastAsia" w:ascii="黑体" w:hAnsi="黑体" w:eastAsia="黑体" w:cs="黑体"/>
          <w:spacing w:val="-4"/>
          <w:sz w:val="32"/>
          <w:szCs w:val="32"/>
        </w:rPr>
        <w:t>附件</w:t>
      </w:r>
      <w:r>
        <w:rPr>
          <w:rFonts w:ascii="黑体" w:hAnsi="黑体" w:eastAsia="黑体" w:cs="黑体"/>
          <w:spacing w:val="-4"/>
          <w:sz w:val="32"/>
          <w:szCs w:val="32"/>
        </w:rPr>
        <w:t>8</w:t>
      </w:r>
      <w:bookmarkEnd w:id="0"/>
    </w:p>
    <w:p>
      <w:pPr>
        <w:keepNext w:val="0"/>
        <w:keepLines w:val="0"/>
        <w:pageBreakBefore w:val="0"/>
        <w:widowControl w:val="0"/>
        <w:kinsoku/>
        <w:wordWrap/>
        <w:overflowPunct/>
        <w:topLinePunct w:val="0"/>
        <w:autoSpaceDE/>
        <w:autoSpaceDN/>
        <w:bidi w:val="0"/>
        <w:adjustRightInd w:val="0"/>
        <w:snapToGrid/>
        <w:ind w:right="0"/>
        <w:jc w:val="center"/>
        <w:textAlignment w:val="auto"/>
        <w:rPr>
          <w:rFonts w:hint="eastAsia" w:ascii="方正小标宋简体" w:hAnsi="方正小标宋简体" w:eastAsia="方正小标宋简体" w:cs="方正小标宋简体"/>
          <w:snapToGrid w:val="0"/>
          <w:spacing w:val="0"/>
          <w:kern w:val="0"/>
          <w:sz w:val="36"/>
          <w:szCs w:val="36"/>
        </w:rPr>
      </w:pPr>
      <w:r>
        <w:rPr>
          <w:rFonts w:hint="eastAsia" w:ascii="方正小标宋简体" w:hAnsi="方正小标宋简体" w:eastAsia="方正小标宋简体" w:cs="方正小标宋简体"/>
          <w:snapToGrid w:val="0"/>
          <w:spacing w:val="0"/>
          <w:kern w:val="0"/>
          <w:sz w:val="36"/>
          <w:szCs w:val="36"/>
        </w:rPr>
        <w:t>中国建筑工程装饰奖工程复查实施细则</w:t>
      </w:r>
    </w:p>
    <w:p>
      <w:pPr>
        <w:snapToGrid w:val="0"/>
        <w:spacing w:line="360" w:lineRule="auto"/>
        <w:jc w:val="center"/>
        <w:rPr>
          <w:rFonts w:ascii="宋体" w:hAnsi="宋体"/>
          <w:spacing w:val="-4"/>
          <w:sz w:val="24"/>
        </w:rPr>
      </w:pPr>
      <w:r>
        <w:rPr>
          <w:rFonts w:hint="eastAsia" w:ascii="宋体" w:hAnsi="宋体"/>
          <w:spacing w:val="-4"/>
          <w:sz w:val="30"/>
          <w:szCs w:val="30"/>
        </w:rPr>
        <w:t>建筑幕墙类（建筑门窗工程）</w:t>
      </w:r>
    </w:p>
    <w:p>
      <w:pPr>
        <w:adjustRightInd w:val="0"/>
        <w:snapToGrid w:val="0"/>
        <w:spacing w:line="360" w:lineRule="auto"/>
        <w:jc w:val="center"/>
        <w:rPr>
          <w:rFonts w:eastAsia="黑体"/>
          <w:b/>
          <w:bCs/>
          <w:szCs w:val="28"/>
        </w:rPr>
      </w:pPr>
    </w:p>
    <w:p>
      <w:pPr>
        <w:numPr>
          <w:ilvl w:val="0"/>
          <w:numId w:val="1"/>
        </w:numPr>
        <w:adjustRightInd w:val="0"/>
        <w:snapToGrid w:val="0"/>
        <w:spacing w:line="360" w:lineRule="auto"/>
        <w:ind w:firstLine="480" w:firstLineChars="200"/>
        <w:outlineLvl w:val="1"/>
        <w:rPr>
          <w:rFonts w:hint="eastAsia" w:eastAsia="黑体"/>
          <w:bCs/>
          <w:sz w:val="24"/>
        </w:rPr>
      </w:pPr>
      <w:bookmarkStart w:id="1" w:name="_Toc30342"/>
      <w:r>
        <w:rPr>
          <w:rFonts w:hint="eastAsia" w:eastAsia="黑体"/>
          <w:bCs/>
          <w:sz w:val="24"/>
        </w:rPr>
        <w:t>评分标准及要求：</w:t>
      </w:r>
      <w:bookmarkEnd w:id="1"/>
    </w:p>
    <w:p>
      <w:pPr>
        <w:adjustRightInd w:val="0"/>
        <w:snapToGrid w:val="0"/>
        <w:spacing w:line="360" w:lineRule="auto"/>
        <w:ind w:firstLine="480" w:firstLineChars="200"/>
        <w:rPr>
          <w:rFonts w:hint="eastAsia"/>
          <w:sz w:val="24"/>
        </w:rPr>
      </w:pPr>
      <w:r>
        <w:rPr>
          <w:rFonts w:hint="eastAsia"/>
          <w:sz w:val="24"/>
        </w:rPr>
        <w:t>建筑门窗工程（不含并列承建）合同金额或结算金额不低于500万元人民币（不含设备购置和安装费用）且面积不低于6000㎡，且仅限铝合金类门窗可申报。</w:t>
      </w:r>
    </w:p>
    <w:p>
      <w:pPr>
        <w:adjustRightInd w:val="0"/>
        <w:snapToGrid w:val="0"/>
        <w:spacing w:line="360" w:lineRule="auto"/>
        <w:ind w:firstLine="480" w:firstLineChars="200"/>
        <w:rPr>
          <w:sz w:val="24"/>
        </w:rPr>
      </w:pPr>
      <w:r>
        <w:rPr>
          <w:rFonts w:hint="eastAsia"/>
          <w:sz w:val="24"/>
        </w:rPr>
        <w:t>鉴于复查项目的工程性质、类别、规模、使用的材料、采用的工艺等各方面差别较大，故复查工程的评分采用扣分法，本细则重点列出了在资料（必要文件、质量管理资料）、热工计算书、结构计算书、工程实体、新技术、总体印象等几个方面的常见问题、质量通病和涉及安全与使用的问题，结合复查中查出的问题进行评分。项目复查总分为100分，建议推荐得分在80分以上的项目，详细分项和评分标准见《工程复查实施细则——建筑幕墙类（建筑门窗工程）》。</w:t>
      </w:r>
    </w:p>
    <w:p>
      <w:pPr>
        <w:adjustRightInd w:val="0"/>
        <w:snapToGrid w:val="0"/>
        <w:spacing w:line="360" w:lineRule="auto"/>
        <w:ind w:firstLine="480" w:firstLineChars="200"/>
        <w:rPr>
          <w:sz w:val="24"/>
        </w:rPr>
      </w:pPr>
      <w:r>
        <w:rPr>
          <w:rFonts w:hint="eastAsia"/>
          <w:sz w:val="24"/>
        </w:rPr>
        <w:t>《工程复查实施细则——建筑幕墙类（建筑门窗工程）》中所列均为工程复查的必查和主查内容，各复查小组可根据项目实际情况做必要的补充和调整，但必查内容不可取消。复查评分严格按照各项要求及分值进行复查评分，并将各大项评分记录在申报表工程复查表中。</w:t>
      </w:r>
    </w:p>
    <w:p>
      <w:pPr>
        <w:adjustRightInd w:val="0"/>
        <w:snapToGrid w:val="0"/>
        <w:spacing w:line="360" w:lineRule="auto"/>
        <w:ind w:firstLine="480" w:firstLineChars="200"/>
        <w:rPr>
          <w:sz w:val="24"/>
        </w:rPr>
      </w:pPr>
      <w:r>
        <w:rPr>
          <w:rFonts w:hint="eastAsia"/>
          <w:sz w:val="24"/>
        </w:rPr>
        <w:t>申报中国建筑工程装饰奖的单位需重视对工程安全隐患的排查及相关必要文件的准备，要求企业申报前对涉及安全、结构、热工、防火、隐蔽资料等方面的情况进行自查，使其符合相应的国家强制性规范和标准以及装饰奖复查的要求。</w:t>
      </w:r>
    </w:p>
    <w:p>
      <w:pPr>
        <w:adjustRightInd w:val="0"/>
        <w:snapToGrid w:val="0"/>
        <w:spacing w:line="360" w:lineRule="auto"/>
        <w:ind w:firstLine="480" w:firstLineChars="200"/>
        <w:outlineLvl w:val="1"/>
        <w:rPr>
          <w:rFonts w:eastAsia="黑体"/>
          <w:bCs/>
          <w:sz w:val="24"/>
        </w:rPr>
      </w:pPr>
      <w:bookmarkStart w:id="2" w:name="_Toc6621"/>
      <w:r>
        <w:rPr>
          <w:rFonts w:hint="eastAsia" w:eastAsia="黑体"/>
          <w:bCs/>
          <w:sz w:val="24"/>
        </w:rPr>
        <w:t>二、主要执行规范和标准：</w:t>
      </w:r>
      <w:bookmarkEnd w:id="2"/>
    </w:p>
    <w:p>
      <w:pPr>
        <w:numPr>
          <w:ilvl w:val="0"/>
          <w:numId w:val="2"/>
        </w:numPr>
        <w:adjustRightInd w:val="0"/>
        <w:snapToGrid w:val="0"/>
        <w:spacing w:line="360" w:lineRule="auto"/>
        <w:ind w:left="900" w:leftChars="200" w:hanging="480" w:hangingChars="200"/>
        <w:rPr>
          <w:sz w:val="24"/>
        </w:rPr>
      </w:pPr>
      <w:r>
        <w:rPr>
          <w:rFonts w:hint="eastAsia"/>
          <w:sz w:val="24"/>
        </w:rPr>
        <w:t>《房屋建筑制图统一标准》GBT50001-2017</w:t>
      </w:r>
    </w:p>
    <w:p>
      <w:pPr>
        <w:numPr>
          <w:ilvl w:val="0"/>
          <w:numId w:val="2"/>
        </w:numPr>
        <w:adjustRightInd w:val="0"/>
        <w:snapToGrid w:val="0"/>
        <w:spacing w:line="360" w:lineRule="auto"/>
        <w:ind w:left="900" w:leftChars="200" w:hanging="480" w:hangingChars="200"/>
        <w:rPr>
          <w:sz w:val="24"/>
        </w:rPr>
      </w:pPr>
      <w:r>
        <w:rPr>
          <w:rFonts w:hint="eastAsia"/>
          <w:sz w:val="24"/>
        </w:rPr>
        <w:t>《民用建筑设计统一标准》GB50352-2019</w:t>
      </w:r>
    </w:p>
    <w:p>
      <w:pPr>
        <w:numPr>
          <w:ilvl w:val="0"/>
          <w:numId w:val="2"/>
        </w:numPr>
        <w:adjustRightInd w:val="0"/>
        <w:snapToGrid w:val="0"/>
        <w:spacing w:line="360" w:lineRule="auto"/>
        <w:ind w:left="900" w:leftChars="200" w:hanging="480" w:hangingChars="200"/>
        <w:rPr>
          <w:sz w:val="24"/>
        </w:rPr>
      </w:pPr>
      <w:r>
        <w:rPr>
          <w:rFonts w:hint="eastAsia"/>
          <w:sz w:val="24"/>
        </w:rPr>
        <w:t>《建筑设计防火规范》GB50016-2014（2018年修订版）</w:t>
      </w:r>
    </w:p>
    <w:p>
      <w:pPr>
        <w:numPr>
          <w:ilvl w:val="0"/>
          <w:numId w:val="2"/>
        </w:numPr>
        <w:adjustRightInd w:val="0"/>
        <w:snapToGrid w:val="0"/>
        <w:spacing w:line="360" w:lineRule="auto"/>
        <w:ind w:left="900" w:leftChars="200" w:hanging="480" w:hangingChars="200"/>
        <w:rPr>
          <w:sz w:val="24"/>
        </w:rPr>
      </w:pPr>
      <w:r>
        <w:rPr>
          <w:rFonts w:hint="eastAsia"/>
          <w:sz w:val="24"/>
        </w:rPr>
        <w:t>《公共建筑节能设计标准》GB50189-2015</w:t>
      </w:r>
    </w:p>
    <w:p>
      <w:pPr>
        <w:numPr>
          <w:ilvl w:val="0"/>
          <w:numId w:val="2"/>
        </w:numPr>
        <w:adjustRightInd w:val="0"/>
        <w:snapToGrid w:val="0"/>
        <w:spacing w:line="360" w:lineRule="auto"/>
        <w:ind w:left="900" w:leftChars="200" w:hanging="480" w:hangingChars="200"/>
        <w:rPr>
          <w:sz w:val="24"/>
        </w:rPr>
      </w:pPr>
      <w:r>
        <w:rPr>
          <w:rFonts w:hint="eastAsia"/>
          <w:sz w:val="24"/>
        </w:rPr>
        <w:t>《建筑物防雷设计规范》GB50057-2010</w:t>
      </w:r>
    </w:p>
    <w:p>
      <w:pPr>
        <w:numPr>
          <w:ilvl w:val="0"/>
          <w:numId w:val="2"/>
        </w:numPr>
        <w:adjustRightInd w:val="0"/>
        <w:snapToGrid w:val="0"/>
        <w:spacing w:line="360" w:lineRule="auto"/>
        <w:ind w:left="900" w:leftChars="200" w:hanging="480" w:hangingChars="200"/>
        <w:rPr>
          <w:sz w:val="24"/>
        </w:rPr>
      </w:pPr>
      <w:r>
        <w:rPr>
          <w:rFonts w:hint="eastAsia"/>
          <w:sz w:val="24"/>
        </w:rPr>
        <w:t>《建筑结构可靠性设计统一标准》</w:t>
      </w:r>
      <w:r>
        <w:rPr>
          <w:sz w:val="24"/>
        </w:rPr>
        <w:t>GB50068-2018</w:t>
      </w:r>
    </w:p>
    <w:p>
      <w:pPr>
        <w:numPr>
          <w:ilvl w:val="0"/>
          <w:numId w:val="2"/>
        </w:numPr>
        <w:adjustRightInd w:val="0"/>
        <w:snapToGrid w:val="0"/>
        <w:spacing w:line="360" w:lineRule="auto"/>
        <w:ind w:left="900" w:leftChars="200" w:hanging="480" w:hangingChars="200"/>
        <w:rPr>
          <w:sz w:val="24"/>
        </w:rPr>
      </w:pPr>
      <w:r>
        <w:rPr>
          <w:rFonts w:hint="eastAsia"/>
          <w:sz w:val="24"/>
        </w:rPr>
        <w:t>《建筑结构荷载规范》GB50009-2012</w:t>
      </w:r>
    </w:p>
    <w:p>
      <w:pPr>
        <w:numPr>
          <w:ilvl w:val="0"/>
          <w:numId w:val="2"/>
        </w:numPr>
        <w:adjustRightInd w:val="0"/>
        <w:snapToGrid w:val="0"/>
        <w:spacing w:line="360" w:lineRule="auto"/>
        <w:ind w:left="900" w:leftChars="200" w:hanging="480" w:hangingChars="200"/>
        <w:rPr>
          <w:sz w:val="24"/>
        </w:rPr>
      </w:pPr>
      <w:r>
        <w:rPr>
          <w:rFonts w:hint="eastAsia"/>
          <w:sz w:val="24"/>
        </w:rPr>
        <w:t>《建筑抗震设计规范》GB50011-2010（2016年修订版）</w:t>
      </w:r>
    </w:p>
    <w:p>
      <w:pPr>
        <w:numPr>
          <w:ilvl w:val="0"/>
          <w:numId w:val="2"/>
        </w:numPr>
        <w:adjustRightInd w:val="0"/>
        <w:snapToGrid w:val="0"/>
        <w:spacing w:line="360" w:lineRule="auto"/>
        <w:ind w:left="900" w:leftChars="200" w:hanging="480" w:hangingChars="200"/>
        <w:rPr>
          <w:sz w:val="24"/>
        </w:rPr>
      </w:pPr>
      <w:r>
        <w:rPr>
          <w:rFonts w:hint="eastAsia"/>
          <w:sz w:val="24"/>
        </w:rPr>
        <w:t>《钢结构设计标准》GB50017-2017</w:t>
      </w:r>
    </w:p>
    <w:p>
      <w:pPr>
        <w:numPr>
          <w:ilvl w:val="0"/>
          <w:numId w:val="2"/>
        </w:numPr>
        <w:adjustRightInd w:val="0"/>
        <w:snapToGrid w:val="0"/>
        <w:spacing w:line="360" w:lineRule="auto"/>
        <w:ind w:left="900" w:leftChars="200" w:hanging="480" w:hangingChars="200"/>
        <w:rPr>
          <w:sz w:val="24"/>
        </w:rPr>
      </w:pPr>
      <w:r>
        <w:rPr>
          <w:rFonts w:hint="eastAsia"/>
          <w:sz w:val="24"/>
        </w:rPr>
        <w:t>《铝合金结构设计规范》GB50429-2007</w:t>
      </w:r>
    </w:p>
    <w:p>
      <w:pPr>
        <w:numPr>
          <w:ilvl w:val="0"/>
          <w:numId w:val="2"/>
        </w:numPr>
        <w:adjustRightInd w:val="0"/>
        <w:snapToGrid w:val="0"/>
        <w:spacing w:line="360" w:lineRule="auto"/>
        <w:ind w:left="900" w:leftChars="200" w:hanging="480" w:hangingChars="200"/>
        <w:rPr>
          <w:sz w:val="24"/>
        </w:rPr>
      </w:pPr>
      <w:r>
        <w:rPr>
          <w:rFonts w:hint="eastAsia"/>
          <w:sz w:val="24"/>
        </w:rPr>
        <w:t>《混凝土结构后锚固技术规程》JGJ145-2013</w:t>
      </w:r>
    </w:p>
    <w:p>
      <w:pPr>
        <w:numPr>
          <w:ilvl w:val="0"/>
          <w:numId w:val="2"/>
        </w:numPr>
        <w:adjustRightInd w:val="0"/>
        <w:snapToGrid w:val="0"/>
        <w:spacing w:line="360" w:lineRule="auto"/>
        <w:ind w:left="900" w:leftChars="200" w:hanging="480" w:hangingChars="200"/>
        <w:rPr>
          <w:sz w:val="24"/>
        </w:rPr>
      </w:pPr>
      <w:r>
        <w:rPr>
          <w:rFonts w:hint="eastAsia"/>
          <w:sz w:val="24"/>
        </w:rPr>
        <w:t>《民用建筑热工设计规范》GB50176-2016</w:t>
      </w:r>
    </w:p>
    <w:p>
      <w:pPr>
        <w:numPr>
          <w:ilvl w:val="0"/>
          <w:numId w:val="2"/>
        </w:numPr>
        <w:adjustRightInd w:val="0"/>
        <w:snapToGrid w:val="0"/>
        <w:spacing w:line="360" w:lineRule="auto"/>
        <w:ind w:left="900" w:leftChars="200" w:hanging="480" w:hangingChars="200"/>
        <w:rPr>
          <w:sz w:val="24"/>
        </w:rPr>
      </w:pPr>
      <w:r>
        <w:rPr>
          <w:rFonts w:hint="eastAsia"/>
          <w:sz w:val="24"/>
        </w:rPr>
        <w:t>《工程结构可靠性设计统一标准》GB50153-2008</w:t>
      </w:r>
    </w:p>
    <w:p>
      <w:pPr>
        <w:numPr>
          <w:ilvl w:val="0"/>
          <w:numId w:val="2"/>
        </w:numPr>
        <w:adjustRightInd w:val="0"/>
        <w:snapToGrid w:val="0"/>
        <w:spacing w:line="360" w:lineRule="auto"/>
        <w:ind w:left="900" w:leftChars="200" w:hanging="480" w:hangingChars="200"/>
        <w:rPr>
          <w:sz w:val="24"/>
        </w:rPr>
      </w:pPr>
      <w:r>
        <w:rPr>
          <w:rFonts w:hint="eastAsia"/>
          <w:sz w:val="24"/>
        </w:rPr>
        <w:t>《建筑钢结构防腐蚀技术规程(附条文说明)》</w:t>
      </w:r>
      <w:r>
        <w:rPr>
          <w:sz w:val="24"/>
        </w:rPr>
        <w:t>JGJ/T251-2011</w:t>
      </w:r>
    </w:p>
    <w:p>
      <w:pPr>
        <w:numPr>
          <w:ilvl w:val="0"/>
          <w:numId w:val="2"/>
        </w:numPr>
        <w:adjustRightInd w:val="0"/>
        <w:snapToGrid w:val="0"/>
        <w:spacing w:line="360" w:lineRule="auto"/>
        <w:ind w:left="900" w:leftChars="200" w:hanging="480" w:hangingChars="200"/>
        <w:rPr>
          <w:sz w:val="24"/>
        </w:rPr>
      </w:pPr>
      <w:r>
        <w:rPr>
          <w:rFonts w:hint="eastAsia"/>
          <w:sz w:val="24"/>
        </w:rPr>
        <w:t>《钢结构工程施工规范》GB50755-2012</w:t>
      </w:r>
    </w:p>
    <w:p>
      <w:pPr>
        <w:numPr>
          <w:ilvl w:val="0"/>
          <w:numId w:val="2"/>
        </w:numPr>
        <w:adjustRightInd w:val="0"/>
        <w:snapToGrid w:val="0"/>
        <w:spacing w:line="360" w:lineRule="auto"/>
        <w:ind w:left="900" w:leftChars="200" w:hanging="480" w:hangingChars="200"/>
        <w:rPr>
          <w:sz w:val="24"/>
        </w:rPr>
      </w:pPr>
      <w:r>
        <w:rPr>
          <w:rFonts w:hint="eastAsia"/>
          <w:sz w:val="24"/>
        </w:rPr>
        <w:t>《中国地震烈度表》GB/T17742-2020</w:t>
      </w:r>
    </w:p>
    <w:p>
      <w:pPr>
        <w:numPr>
          <w:ilvl w:val="0"/>
          <w:numId w:val="2"/>
        </w:numPr>
        <w:adjustRightInd w:val="0"/>
        <w:snapToGrid w:val="0"/>
        <w:spacing w:line="360" w:lineRule="auto"/>
        <w:ind w:left="900" w:leftChars="200" w:hanging="480" w:hangingChars="200"/>
        <w:rPr>
          <w:sz w:val="24"/>
        </w:rPr>
      </w:pPr>
      <w:r>
        <w:rPr>
          <w:rFonts w:hint="eastAsia"/>
          <w:sz w:val="24"/>
        </w:rPr>
        <w:t>《中国地震动参数区划图》GB18306-2015</w:t>
      </w:r>
    </w:p>
    <w:p>
      <w:pPr>
        <w:numPr>
          <w:ilvl w:val="0"/>
          <w:numId w:val="2"/>
        </w:numPr>
        <w:adjustRightInd w:val="0"/>
        <w:snapToGrid w:val="0"/>
        <w:spacing w:line="360" w:lineRule="auto"/>
        <w:ind w:left="900" w:leftChars="200" w:hanging="480" w:hangingChars="200"/>
        <w:rPr>
          <w:sz w:val="24"/>
        </w:rPr>
      </w:pPr>
      <w:r>
        <w:rPr>
          <w:rFonts w:hint="eastAsia"/>
          <w:sz w:val="24"/>
        </w:rPr>
        <w:t>《建筑门窗术语》GB/T</w:t>
      </w:r>
      <w:r>
        <w:rPr>
          <w:sz w:val="24"/>
        </w:rPr>
        <w:t>5823</w:t>
      </w:r>
      <w:r>
        <w:rPr>
          <w:rFonts w:hint="eastAsia"/>
          <w:sz w:val="24"/>
        </w:rPr>
        <w:t>-20</w:t>
      </w:r>
      <w:r>
        <w:rPr>
          <w:sz w:val="24"/>
        </w:rPr>
        <w:t>08</w:t>
      </w:r>
    </w:p>
    <w:p>
      <w:pPr>
        <w:numPr>
          <w:ilvl w:val="0"/>
          <w:numId w:val="2"/>
        </w:numPr>
        <w:adjustRightInd w:val="0"/>
        <w:snapToGrid w:val="0"/>
        <w:spacing w:line="360" w:lineRule="auto"/>
        <w:ind w:left="900" w:leftChars="200" w:hanging="480" w:hangingChars="200"/>
        <w:rPr>
          <w:sz w:val="24"/>
        </w:rPr>
      </w:pPr>
      <w:r>
        <w:rPr>
          <w:rFonts w:hint="eastAsia"/>
          <w:sz w:val="24"/>
        </w:rPr>
        <w:t>《铝合金门窗》GB/T8478-2020</w:t>
      </w:r>
    </w:p>
    <w:p>
      <w:pPr>
        <w:numPr>
          <w:ilvl w:val="0"/>
          <w:numId w:val="2"/>
        </w:numPr>
        <w:adjustRightInd w:val="0"/>
        <w:snapToGrid w:val="0"/>
        <w:spacing w:line="360" w:lineRule="auto"/>
        <w:ind w:left="900" w:leftChars="200" w:hanging="480" w:hangingChars="200"/>
        <w:rPr>
          <w:sz w:val="24"/>
        </w:rPr>
      </w:pPr>
      <w:r>
        <w:rPr>
          <w:rFonts w:hint="eastAsia"/>
          <w:sz w:val="24"/>
        </w:rPr>
        <w:t>《建筑用节能门窗 第1部分：铝木复合门窗》GB/T</w:t>
      </w:r>
      <w:r>
        <w:rPr>
          <w:sz w:val="24"/>
        </w:rPr>
        <w:t>29734.1</w:t>
      </w:r>
      <w:r>
        <w:rPr>
          <w:rFonts w:hint="eastAsia"/>
          <w:sz w:val="24"/>
        </w:rPr>
        <w:t>-20</w:t>
      </w:r>
      <w:r>
        <w:rPr>
          <w:sz w:val="24"/>
        </w:rPr>
        <w:t>13</w:t>
      </w:r>
    </w:p>
    <w:p>
      <w:pPr>
        <w:numPr>
          <w:ilvl w:val="0"/>
          <w:numId w:val="2"/>
        </w:numPr>
        <w:adjustRightInd w:val="0"/>
        <w:snapToGrid w:val="0"/>
        <w:spacing w:line="360" w:lineRule="auto"/>
        <w:ind w:left="900" w:leftChars="200" w:hanging="480" w:hangingChars="200"/>
        <w:rPr>
          <w:sz w:val="24"/>
        </w:rPr>
      </w:pPr>
      <w:r>
        <w:rPr>
          <w:rFonts w:hint="eastAsia"/>
          <w:sz w:val="24"/>
        </w:rPr>
        <w:t>《建筑用节能门窗 第</w:t>
      </w:r>
      <w:r>
        <w:rPr>
          <w:sz w:val="24"/>
        </w:rPr>
        <w:t>2</w:t>
      </w:r>
      <w:r>
        <w:rPr>
          <w:rFonts w:hint="eastAsia"/>
          <w:sz w:val="24"/>
        </w:rPr>
        <w:t>部分：铝塑复合门窗》GB/T</w:t>
      </w:r>
      <w:r>
        <w:rPr>
          <w:sz w:val="24"/>
        </w:rPr>
        <w:t>29734.2</w:t>
      </w:r>
      <w:r>
        <w:rPr>
          <w:rFonts w:hint="eastAsia"/>
          <w:sz w:val="24"/>
        </w:rPr>
        <w:t>-20</w:t>
      </w:r>
      <w:r>
        <w:rPr>
          <w:sz w:val="24"/>
        </w:rPr>
        <w:t>13</w:t>
      </w:r>
    </w:p>
    <w:p>
      <w:pPr>
        <w:numPr>
          <w:ilvl w:val="0"/>
          <w:numId w:val="2"/>
        </w:numPr>
        <w:adjustRightInd w:val="0"/>
        <w:snapToGrid w:val="0"/>
        <w:spacing w:line="360" w:lineRule="auto"/>
        <w:ind w:left="900" w:leftChars="200" w:hanging="480" w:hangingChars="200"/>
        <w:rPr>
          <w:sz w:val="24"/>
        </w:rPr>
      </w:pPr>
      <w:r>
        <w:rPr>
          <w:rFonts w:hint="eastAsia"/>
          <w:sz w:val="24"/>
        </w:rPr>
        <w:t>《建筑用节能门窗 第</w:t>
      </w:r>
      <w:r>
        <w:rPr>
          <w:sz w:val="24"/>
        </w:rPr>
        <w:t>3</w:t>
      </w:r>
      <w:r>
        <w:rPr>
          <w:rFonts w:hint="eastAsia"/>
          <w:sz w:val="24"/>
        </w:rPr>
        <w:t>部分：钢塑复合门窗》GB/T</w:t>
      </w:r>
      <w:r>
        <w:rPr>
          <w:sz w:val="24"/>
        </w:rPr>
        <w:t>29734.2</w:t>
      </w:r>
      <w:r>
        <w:rPr>
          <w:rFonts w:hint="eastAsia"/>
          <w:sz w:val="24"/>
        </w:rPr>
        <w:t>-20</w:t>
      </w:r>
      <w:r>
        <w:rPr>
          <w:sz w:val="24"/>
        </w:rPr>
        <w:t>20</w:t>
      </w:r>
    </w:p>
    <w:p>
      <w:pPr>
        <w:numPr>
          <w:ilvl w:val="0"/>
          <w:numId w:val="2"/>
        </w:numPr>
        <w:adjustRightInd w:val="0"/>
        <w:snapToGrid w:val="0"/>
        <w:spacing w:line="360" w:lineRule="auto"/>
        <w:ind w:left="900" w:leftChars="200" w:hanging="480" w:hangingChars="200"/>
        <w:rPr>
          <w:sz w:val="24"/>
        </w:rPr>
      </w:pPr>
      <w:r>
        <w:rPr>
          <w:rFonts w:hint="eastAsia"/>
          <w:sz w:val="24"/>
        </w:rPr>
        <w:t>《建筑节能工程施工质量验收规范》G</w:t>
      </w:r>
      <w:r>
        <w:rPr>
          <w:sz w:val="24"/>
        </w:rPr>
        <w:t>B50411</w:t>
      </w:r>
      <w:r>
        <w:rPr>
          <w:rFonts w:hint="eastAsia"/>
          <w:sz w:val="24"/>
        </w:rPr>
        <w:t>-</w:t>
      </w:r>
      <w:r>
        <w:rPr>
          <w:sz w:val="24"/>
        </w:rPr>
        <w:t>2019</w:t>
      </w:r>
    </w:p>
    <w:p>
      <w:pPr>
        <w:numPr>
          <w:ilvl w:val="0"/>
          <w:numId w:val="2"/>
        </w:numPr>
        <w:adjustRightInd w:val="0"/>
        <w:snapToGrid w:val="0"/>
        <w:spacing w:line="360" w:lineRule="auto"/>
        <w:ind w:left="900" w:leftChars="200" w:hanging="480" w:hangingChars="200"/>
        <w:rPr>
          <w:sz w:val="24"/>
        </w:rPr>
      </w:pPr>
      <w:r>
        <w:rPr>
          <w:rFonts w:hint="eastAsia"/>
          <w:sz w:val="24"/>
        </w:rPr>
        <w:t>《建筑幕墙、门窗通用技术条件》GB/T31433-2015</w:t>
      </w:r>
    </w:p>
    <w:p>
      <w:pPr>
        <w:numPr>
          <w:ilvl w:val="0"/>
          <w:numId w:val="2"/>
        </w:numPr>
        <w:adjustRightInd w:val="0"/>
        <w:snapToGrid w:val="0"/>
        <w:spacing w:line="360" w:lineRule="auto"/>
        <w:ind w:left="900" w:leftChars="200" w:hanging="480" w:hangingChars="200"/>
        <w:rPr>
          <w:sz w:val="24"/>
        </w:rPr>
      </w:pPr>
      <w:r>
        <w:rPr>
          <w:rFonts w:hint="eastAsia"/>
          <w:sz w:val="24"/>
        </w:rPr>
        <w:t>《系统门窗通用技术条件》GB/T39529-2020</w:t>
      </w:r>
    </w:p>
    <w:p>
      <w:pPr>
        <w:numPr>
          <w:ilvl w:val="0"/>
          <w:numId w:val="2"/>
        </w:numPr>
        <w:adjustRightInd w:val="0"/>
        <w:snapToGrid w:val="0"/>
        <w:spacing w:line="360" w:lineRule="auto"/>
        <w:ind w:left="900" w:leftChars="200" w:hanging="480" w:hangingChars="200"/>
        <w:rPr>
          <w:sz w:val="24"/>
        </w:rPr>
      </w:pPr>
      <w:r>
        <w:rPr>
          <w:rFonts w:hint="eastAsia"/>
          <w:sz w:val="24"/>
        </w:rPr>
        <w:t>《建筑门窗洞口尺寸系列》GB</w:t>
      </w:r>
      <w:r>
        <w:rPr>
          <w:sz w:val="24"/>
        </w:rPr>
        <w:t>/</w:t>
      </w:r>
      <w:r>
        <w:rPr>
          <w:rFonts w:hint="eastAsia"/>
          <w:sz w:val="24"/>
        </w:rPr>
        <w:t>T5824-20</w:t>
      </w:r>
      <w:r>
        <w:rPr>
          <w:sz w:val="24"/>
        </w:rPr>
        <w:t>21</w:t>
      </w:r>
    </w:p>
    <w:p>
      <w:pPr>
        <w:numPr>
          <w:ilvl w:val="0"/>
          <w:numId w:val="2"/>
        </w:numPr>
        <w:adjustRightInd w:val="0"/>
        <w:snapToGrid w:val="0"/>
        <w:spacing w:line="360" w:lineRule="auto"/>
        <w:ind w:left="900" w:leftChars="200" w:hanging="480" w:hangingChars="200"/>
        <w:rPr>
          <w:sz w:val="24"/>
        </w:rPr>
      </w:pPr>
      <w:r>
        <w:rPr>
          <w:rFonts w:hint="eastAsia"/>
          <w:sz w:val="24"/>
        </w:rPr>
        <w:t>《建筑门窗五金件 通用要求》GB/T32223-2015</w:t>
      </w:r>
    </w:p>
    <w:p>
      <w:pPr>
        <w:numPr>
          <w:ilvl w:val="0"/>
          <w:numId w:val="2"/>
        </w:numPr>
        <w:adjustRightInd w:val="0"/>
        <w:snapToGrid w:val="0"/>
        <w:spacing w:line="360" w:lineRule="auto"/>
        <w:ind w:left="900" w:leftChars="200" w:hanging="480" w:hangingChars="200"/>
        <w:rPr>
          <w:sz w:val="24"/>
        </w:rPr>
      </w:pPr>
      <w:r>
        <w:rPr>
          <w:rFonts w:hint="eastAsia"/>
          <w:sz w:val="24"/>
        </w:rPr>
        <w:t>《建筑门窗附框技术要求》GB/T39866-2021</w:t>
      </w:r>
    </w:p>
    <w:p>
      <w:pPr>
        <w:numPr>
          <w:ilvl w:val="0"/>
          <w:numId w:val="2"/>
        </w:numPr>
        <w:adjustRightInd w:val="0"/>
        <w:snapToGrid w:val="0"/>
        <w:spacing w:line="360" w:lineRule="auto"/>
        <w:ind w:left="900" w:leftChars="200" w:hanging="480" w:hangingChars="200"/>
        <w:rPr>
          <w:sz w:val="24"/>
        </w:rPr>
      </w:pPr>
      <w:r>
        <w:rPr>
          <w:rFonts w:hint="eastAsia"/>
          <w:sz w:val="24"/>
        </w:rPr>
        <w:t>《铝合金门窗工程技术规范》JGJ214-2010</w:t>
      </w:r>
    </w:p>
    <w:p>
      <w:pPr>
        <w:numPr>
          <w:ilvl w:val="0"/>
          <w:numId w:val="2"/>
        </w:numPr>
        <w:adjustRightInd w:val="0"/>
        <w:snapToGrid w:val="0"/>
        <w:spacing w:line="360" w:lineRule="auto"/>
        <w:ind w:left="900" w:leftChars="200" w:hanging="480" w:hangingChars="200"/>
        <w:rPr>
          <w:sz w:val="24"/>
        </w:rPr>
      </w:pPr>
      <w:r>
        <w:rPr>
          <w:rFonts w:hint="eastAsia"/>
          <w:sz w:val="24"/>
        </w:rPr>
        <w:t>《防火窗》GB16809-2008</w:t>
      </w:r>
    </w:p>
    <w:p>
      <w:pPr>
        <w:numPr>
          <w:ilvl w:val="0"/>
          <w:numId w:val="2"/>
        </w:numPr>
        <w:adjustRightInd w:val="0"/>
        <w:snapToGrid w:val="0"/>
        <w:spacing w:line="360" w:lineRule="auto"/>
        <w:ind w:left="900" w:leftChars="200" w:hanging="480" w:hangingChars="200"/>
        <w:rPr>
          <w:sz w:val="24"/>
        </w:rPr>
      </w:pPr>
      <w:r>
        <w:rPr>
          <w:rFonts w:hint="eastAsia"/>
          <w:sz w:val="24"/>
        </w:rPr>
        <w:t>《建筑工程施工质量验收统一标准》G</w:t>
      </w:r>
      <w:r>
        <w:rPr>
          <w:sz w:val="24"/>
        </w:rPr>
        <w:t>B50300</w:t>
      </w:r>
      <w:r>
        <w:rPr>
          <w:rFonts w:hint="eastAsia"/>
          <w:sz w:val="24"/>
        </w:rPr>
        <w:t>-</w:t>
      </w:r>
      <w:r>
        <w:rPr>
          <w:sz w:val="24"/>
        </w:rPr>
        <w:t>2013</w:t>
      </w:r>
    </w:p>
    <w:p>
      <w:pPr>
        <w:numPr>
          <w:ilvl w:val="0"/>
          <w:numId w:val="2"/>
        </w:numPr>
        <w:adjustRightInd w:val="0"/>
        <w:snapToGrid w:val="0"/>
        <w:spacing w:line="360" w:lineRule="auto"/>
        <w:ind w:left="900" w:leftChars="200" w:hanging="480" w:hangingChars="200"/>
        <w:rPr>
          <w:sz w:val="24"/>
        </w:rPr>
      </w:pPr>
      <w:r>
        <w:rPr>
          <w:rFonts w:hint="eastAsia"/>
          <w:sz w:val="24"/>
        </w:rPr>
        <w:t>《建筑装饰装修工程质量验收标准》G</w:t>
      </w:r>
      <w:r>
        <w:rPr>
          <w:sz w:val="24"/>
        </w:rPr>
        <w:t>B50210</w:t>
      </w:r>
      <w:r>
        <w:rPr>
          <w:rFonts w:hint="eastAsia"/>
          <w:sz w:val="24"/>
        </w:rPr>
        <w:t>-</w:t>
      </w:r>
      <w:r>
        <w:rPr>
          <w:sz w:val="24"/>
        </w:rPr>
        <w:t>2018</w:t>
      </w:r>
    </w:p>
    <w:p>
      <w:pPr>
        <w:numPr>
          <w:ilvl w:val="0"/>
          <w:numId w:val="2"/>
        </w:numPr>
        <w:adjustRightInd w:val="0"/>
        <w:snapToGrid w:val="0"/>
        <w:spacing w:line="360" w:lineRule="auto"/>
        <w:ind w:left="900" w:leftChars="200" w:hanging="480" w:hangingChars="200"/>
        <w:outlineLvl w:val="2"/>
        <w:rPr>
          <w:sz w:val="24"/>
        </w:rPr>
      </w:pPr>
      <w:bookmarkStart w:id="3" w:name="_Toc4309"/>
      <w:r>
        <w:rPr>
          <w:rFonts w:hint="eastAsia"/>
          <w:sz w:val="24"/>
        </w:rPr>
        <w:t>《建筑门窗工程检测技术规程》</w:t>
      </w:r>
      <w:r>
        <w:rPr>
          <w:sz w:val="24"/>
        </w:rPr>
        <w:t>JGJ/T205-2010</w:t>
      </w:r>
      <w:bookmarkEnd w:id="3"/>
    </w:p>
    <w:p>
      <w:pPr>
        <w:numPr>
          <w:ilvl w:val="0"/>
          <w:numId w:val="2"/>
        </w:numPr>
        <w:adjustRightInd w:val="0"/>
        <w:snapToGrid w:val="0"/>
        <w:spacing w:line="360" w:lineRule="auto"/>
        <w:ind w:left="900" w:leftChars="200" w:hanging="480" w:hangingChars="200"/>
        <w:rPr>
          <w:sz w:val="24"/>
        </w:rPr>
      </w:pPr>
      <w:r>
        <w:rPr>
          <w:rFonts w:hint="eastAsia"/>
          <w:sz w:val="24"/>
        </w:rPr>
        <w:t>《建筑门窗玻璃幕墙热工计算规程》</w:t>
      </w:r>
      <w:r>
        <w:rPr>
          <w:sz w:val="24"/>
        </w:rPr>
        <w:t>JGJ/T151-2008</w:t>
      </w:r>
    </w:p>
    <w:p>
      <w:pPr>
        <w:numPr>
          <w:ilvl w:val="0"/>
          <w:numId w:val="2"/>
        </w:numPr>
        <w:adjustRightInd w:val="0"/>
        <w:snapToGrid w:val="0"/>
        <w:spacing w:line="360" w:lineRule="auto"/>
        <w:ind w:left="900" w:leftChars="200" w:hanging="480" w:hangingChars="200"/>
        <w:rPr>
          <w:sz w:val="24"/>
        </w:rPr>
      </w:pPr>
      <w:r>
        <w:rPr>
          <w:rFonts w:hint="eastAsia"/>
          <w:sz w:val="24"/>
        </w:rPr>
        <w:t>《建筑外门窗气密、水密、抗风压性能检测方法》GB/T</w:t>
      </w:r>
      <w:r>
        <w:rPr>
          <w:sz w:val="24"/>
        </w:rPr>
        <w:t>7106</w:t>
      </w:r>
      <w:r>
        <w:rPr>
          <w:rFonts w:hint="eastAsia"/>
          <w:sz w:val="24"/>
        </w:rPr>
        <w:t>-2019</w:t>
      </w:r>
    </w:p>
    <w:p>
      <w:pPr>
        <w:numPr>
          <w:ilvl w:val="0"/>
          <w:numId w:val="2"/>
        </w:numPr>
        <w:adjustRightInd w:val="0"/>
        <w:snapToGrid w:val="0"/>
        <w:spacing w:line="360" w:lineRule="auto"/>
        <w:ind w:left="900" w:leftChars="200" w:hanging="480" w:hangingChars="200"/>
        <w:rPr>
          <w:sz w:val="24"/>
        </w:rPr>
      </w:pPr>
      <w:r>
        <w:rPr>
          <w:rFonts w:hint="eastAsia"/>
          <w:sz w:val="24"/>
        </w:rPr>
        <w:t>《建筑外门窗保温性能检测方法》GB</w:t>
      </w:r>
      <w:r>
        <w:rPr>
          <w:sz w:val="24"/>
        </w:rPr>
        <w:t>/</w:t>
      </w:r>
      <w:r>
        <w:rPr>
          <w:rFonts w:hint="eastAsia"/>
          <w:sz w:val="24"/>
        </w:rPr>
        <w:t>T8484-20</w:t>
      </w:r>
      <w:r>
        <w:rPr>
          <w:sz w:val="24"/>
        </w:rPr>
        <w:t>20</w:t>
      </w:r>
    </w:p>
    <w:p>
      <w:pPr>
        <w:numPr>
          <w:ilvl w:val="0"/>
          <w:numId w:val="2"/>
        </w:numPr>
        <w:adjustRightInd w:val="0"/>
        <w:snapToGrid w:val="0"/>
        <w:spacing w:line="360" w:lineRule="auto"/>
        <w:ind w:left="900" w:leftChars="200" w:hanging="480" w:hangingChars="200"/>
        <w:rPr>
          <w:sz w:val="24"/>
        </w:rPr>
      </w:pPr>
      <w:r>
        <w:rPr>
          <w:rFonts w:hint="eastAsia"/>
          <w:sz w:val="24"/>
        </w:rPr>
        <w:t>《</w:t>
      </w:r>
      <w:r>
        <w:rPr>
          <w:sz w:val="24"/>
        </w:rPr>
        <w:t>建筑门窗空气声隔声性能分级及检测方法</w:t>
      </w:r>
      <w:r>
        <w:rPr>
          <w:rFonts w:hint="eastAsia"/>
          <w:sz w:val="24"/>
        </w:rPr>
        <w:t>》</w:t>
      </w:r>
      <w:r>
        <w:rPr>
          <w:sz w:val="24"/>
        </w:rPr>
        <w:t>GB/T8485-2008</w:t>
      </w:r>
    </w:p>
    <w:p>
      <w:pPr>
        <w:numPr>
          <w:ilvl w:val="0"/>
          <w:numId w:val="2"/>
        </w:numPr>
        <w:adjustRightInd w:val="0"/>
        <w:snapToGrid w:val="0"/>
        <w:spacing w:line="360" w:lineRule="auto"/>
        <w:ind w:left="900" w:leftChars="200" w:hanging="480" w:hangingChars="200"/>
        <w:rPr>
          <w:sz w:val="24"/>
        </w:rPr>
      </w:pPr>
      <w:r>
        <w:rPr>
          <w:rFonts w:hint="eastAsia"/>
          <w:sz w:val="24"/>
        </w:rPr>
        <w:t>《建筑外窗采光性能分级及检测方法》GB/T11976-2015</w:t>
      </w:r>
    </w:p>
    <w:p>
      <w:pPr>
        <w:numPr>
          <w:ilvl w:val="0"/>
          <w:numId w:val="2"/>
        </w:numPr>
        <w:adjustRightInd w:val="0"/>
        <w:snapToGrid w:val="0"/>
        <w:spacing w:line="360" w:lineRule="auto"/>
        <w:ind w:left="900" w:leftChars="200" w:hanging="480" w:hangingChars="200"/>
        <w:rPr>
          <w:sz w:val="24"/>
        </w:rPr>
      </w:pPr>
      <w:r>
        <w:rPr>
          <w:rFonts w:hint="eastAsia"/>
          <w:sz w:val="24"/>
        </w:rPr>
        <w:t>《门窗反复启闭耐久性试验方法》GB/T</w:t>
      </w:r>
      <w:r>
        <w:rPr>
          <w:sz w:val="24"/>
        </w:rPr>
        <w:t>29739</w:t>
      </w:r>
      <w:r>
        <w:rPr>
          <w:rFonts w:hint="eastAsia"/>
          <w:sz w:val="24"/>
        </w:rPr>
        <w:t>-201</w:t>
      </w:r>
      <w:r>
        <w:rPr>
          <w:sz w:val="24"/>
        </w:rPr>
        <w:t>3</w:t>
      </w:r>
    </w:p>
    <w:p>
      <w:pPr>
        <w:numPr>
          <w:ilvl w:val="0"/>
          <w:numId w:val="2"/>
        </w:numPr>
        <w:adjustRightInd w:val="0"/>
        <w:snapToGrid w:val="0"/>
        <w:spacing w:line="360" w:lineRule="auto"/>
        <w:ind w:left="900" w:leftChars="200" w:hanging="480" w:hangingChars="200"/>
        <w:rPr>
          <w:sz w:val="24"/>
        </w:rPr>
      </w:pPr>
      <w:r>
        <w:rPr>
          <w:rFonts w:hint="eastAsia"/>
          <w:sz w:val="24"/>
        </w:rPr>
        <w:t>《建筑门窗耐火完整性试验方法》GB/T</w:t>
      </w:r>
      <w:r>
        <w:rPr>
          <w:sz w:val="24"/>
        </w:rPr>
        <w:t>38252</w:t>
      </w:r>
      <w:r>
        <w:rPr>
          <w:rFonts w:hint="eastAsia"/>
          <w:sz w:val="24"/>
        </w:rPr>
        <w:t>-201</w:t>
      </w:r>
      <w:r>
        <w:rPr>
          <w:sz w:val="24"/>
        </w:rPr>
        <w:t>9</w:t>
      </w:r>
    </w:p>
    <w:p>
      <w:pPr>
        <w:numPr>
          <w:ilvl w:val="0"/>
          <w:numId w:val="2"/>
        </w:numPr>
        <w:adjustRightInd w:val="0"/>
        <w:snapToGrid w:val="0"/>
        <w:spacing w:line="360" w:lineRule="auto"/>
        <w:ind w:left="900" w:leftChars="200" w:hanging="480" w:hangingChars="200"/>
        <w:rPr>
          <w:sz w:val="24"/>
        </w:rPr>
      </w:pPr>
      <w:r>
        <w:rPr>
          <w:rFonts w:hint="eastAsia"/>
          <w:sz w:val="24"/>
        </w:rPr>
        <w:t>《</w:t>
      </w:r>
      <w:r>
        <w:rPr>
          <w:sz w:val="24"/>
        </w:rPr>
        <w:t>建筑</w:t>
      </w:r>
      <w:r>
        <w:rPr>
          <w:rFonts w:hint="eastAsia"/>
          <w:sz w:val="24"/>
        </w:rPr>
        <w:t>幕墙</w:t>
      </w:r>
      <w:r>
        <w:rPr>
          <w:sz w:val="24"/>
        </w:rPr>
        <w:t>门窗用钢化玻璃</w:t>
      </w:r>
      <w:r>
        <w:rPr>
          <w:rFonts w:hint="eastAsia"/>
          <w:sz w:val="24"/>
        </w:rPr>
        <w:t>》</w:t>
      </w:r>
      <w:r>
        <w:rPr>
          <w:sz w:val="24"/>
        </w:rPr>
        <w:t>JG/T455-2014</w:t>
      </w:r>
    </w:p>
    <w:p>
      <w:pPr>
        <w:numPr>
          <w:ilvl w:val="0"/>
          <w:numId w:val="2"/>
        </w:numPr>
        <w:adjustRightInd w:val="0"/>
        <w:snapToGrid w:val="0"/>
        <w:spacing w:line="360" w:lineRule="auto"/>
        <w:ind w:left="900" w:leftChars="200" w:hanging="480" w:hangingChars="200"/>
        <w:rPr>
          <w:sz w:val="24"/>
        </w:rPr>
      </w:pPr>
      <w:r>
        <w:rPr>
          <w:rFonts w:hint="eastAsia"/>
          <w:sz w:val="24"/>
        </w:rPr>
        <w:t>《建筑玻璃应用技术规程》JG/J113-2015</w:t>
      </w:r>
    </w:p>
    <w:p>
      <w:pPr>
        <w:numPr>
          <w:ilvl w:val="0"/>
          <w:numId w:val="2"/>
        </w:numPr>
        <w:adjustRightInd w:val="0"/>
        <w:snapToGrid w:val="0"/>
        <w:spacing w:line="360" w:lineRule="auto"/>
        <w:ind w:left="900" w:leftChars="200" w:hanging="480" w:hangingChars="200"/>
        <w:rPr>
          <w:sz w:val="24"/>
        </w:rPr>
      </w:pPr>
      <w:r>
        <w:rPr>
          <w:rFonts w:hint="eastAsia"/>
          <w:sz w:val="24"/>
        </w:rPr>
        <w:t>《建筑用安全玻璃 第1部 防火玻璃》</w:t>
      </w:r>
      <w:r>
        <w:rPr>
          <w:sz w:val="24"/>
        </w:rPr>
        <w:t>GB15763.1-2009</w:t>
      </w:r>
    </w:p>
    <w:p>
      <w:pPr>
        <w:numPr>
          <w:ilvl w:val="0"/>
          <w:numId w:val="2"/>
        </w:numPr>
        <w:adjustRightInd w:val="0"/>
        <w:snapToGrid w:val="0"/>
        <w:spacing w:line="360" w:lineRule="auto"/>
        <w:ind w:left="900" w:leftChars="200" w:hanging="480" w:hangingChars="200"/>
        <w:rPr>
          <w:sz w:val="24"/>
        </w:rPr>
      </w:pPr>
      <w:r>
        <w:rPr>
          <w:rFonts w:hint="eastAsia"/>
          <w:sz w:val="24"/>
        </w:rPr>
        <w:t>《建筑用安全玻璃 第2部分：钢化玻璃》GB15763.2-2005</w:t>
      </w:r>
    </w:p>
    <w:p>
      <w:pPr>
        <w:numPr>
          <w:ilvl w:val="0"/>
          <w:numId w:val="2"/>
        </w:numPr>
        <w:adjustRightInd w:val="0"/>
        <w:snapToGrid w:val="0"/>
        <w:spacing w:line="360" w:lineRule="auto"/>
        <w:ind w:left="900" w:leftChars="200" w:hanging="480" w:hangingChars="200"/>
        <w:rPr>
          <w:sz w:val="24"/>
        </w:rPr>
      </w:pPr>
      <w:r>
        <w:rPr>
          <w:rFonts w:hint="eastAsia"/>
          <w:sz w:val="24"/>
        </w:rPr>
        <w:t>《建筑用安全玻璃 第3部 夹层玻璃》</w:t>
      </w:r>
      <w:r>
        <w:rPr>
          <w:sz w:val="24"/>
        </w:rPr>
        <w:t>GB15763.3-2009</w:t>
      </w:r>
    </w:p>
    <w:p>
      <w:pPr>
        <w:numPr>
          <w:ilvl w:val="0"/>
          <w:numId w:val="2"/>
        </w:numPr>
        <w:adjustRightInd w:val="0"/>
        <w:snapToGrid w:val="0"/>
        <w:spacing w:line="360" w:lineRule="auto"/>
        <w:ind w:left="900" w:leftChars="200" w:hanging="480" w:hangingChars="200"/>
        <w:outlineLvl w:val="2"/>
        <w:rPr>
          <w:sz w:val="24"/>
        </w:rPr>
      </w:pPr>
      <w:bookmarkStart w:id="4" w:name="_Toc21607"/>
      <w:r>
        <w:rPr>
          <w:rFonts w:hint="eastAsia"/>
          <w:sz w:val="24"/>
        </w:rPr>
        <w:t>《半钢化玻璃》GB/T17841-2008</w:t>
      </w:r>
      <w:bookmarkEnd w:id="4"/>
    </w:p>
    <w:p>
      <w:pPr>
        <w:numPr>
          <w:ilvl w:val="0"/>
          <w:numId w:val="2"/>
        </w:numPr>
        <w:adjustRightInd w:val="0"/>
        <w:snapToGrid w:val="0"/>
        <w:spacing w:line="360" w:lineRule="auto"/>
        <w:ind w:left="900" w:leftChars="200" w:hanging="480" w:hangingChars="200"/>
        <w:rPr>
          <w:sz w:val="24"/>
        </w:rPr>
      </w:pPr>
      <w:r>
        <w:rPr>
          <w:rFonts w:hint="eastAsia"/>
          <w:sz w:val="24"/>
        </w:rPr>
        <w:t>《镀膜玻璃 第1部分 阳光控制镀膜玻璃》GB/T18915.1-2013</w:t>
      </w:r>
    </w:p>
    <w:p>
      <w:pPr>
        <w:numPr>
          <w:ilvl w:val="0"/>
          <w:numId w:val="2"/>
        </w:numPr>
        <w:adjustRightInd w:val="0"/>
        <w:snapToGrid w:val="0"/>
        <w:spacing w:line="360" w:lineRule="auto"/>
        <w:ind w:left="900" w:leftChars="200" w:hanging="480" w:hangingChars="200"/>
        <w:rPr>
          <w:sz w:val="24"/>
        </w:rPr>
      </w:pPr>
      <w:r>
        <w:rPr>
          <w:rFonts w:hint="eastAsia"/>
          <w:sz w:val="24"/>
        </w:rPr>
        <w:t>《镀膜玻璃 第2部分 低辐射镀膜玻璃》GB/T18915.2-2013</w:t>
      </w:r>
    </w:p>
    <w:p>
      <w:pPr>
        <w:numPr>
          <w:ilvl w:val="0"/>
          <w:numId w:val="2"/>
        </w:numPr>
        <w:adjustRightInd w:val="0"/>
        <w:snapToGrid w:val="0"/>
        <w:spacing w:line="360" w:lineRule="auto"/>
        <w:ind w:left="900" w:leftChars="200" w:hanging="480" w:hangingChars="200"/>
        <w:rPr>
          <w:sz w:val="24"/>
        </w:rPr>
      </w:pPr>
      <w:r>
        <w:rPr>
          <w:rFonts w:hint="eastAsia"/>
          <w:sz w:val="24"/>
        </w:rPr>
        <w:t>《中空玻璃》GB/T11944-2012</w:t>
      </w:r>
    </w:p>
    <w:p>
      <w:pPr>
        <w:numPr>
          <w:ilvl w:val="0"/>
          <w:numId w:val="2"/>
        </w:numPr>
        <w:adjustRightInd w:val="0"/>
        <w:snapToGrid w:val="0"/>
        <w:spacing w:line="360" w:lineRule="auto"/>
        <w:ind w:left="900" w:leftChars="200" w:hanging="480" w:hangingChars="200"/>
        <w:rPr>
          <w:sz w:val="24"/>
        </w:rPr>
      </w:pPr>
      <w:r>
        <w:rPr>
          <w:rFonts w:hint="eastAsia"/>
          <w:sz w:val="24"/>
        </w:rPr>
        <w:t>《</w:t>
      </w:r>
      <w:r>
        <w:rPr>
          <w:sz w:val="24"/>
        </w:rPr>
        <w:t>中空玻璃用丁基热熔密封胶</w:t>
      </w:r>
      <w:r>
        <w:rPr>
          <w:rFonts w:hint="eastAsia"/>
          <w:sz w:val="24"/>
        </w:rPr>
        <w:t>》JC/T914-2014</w:t>
      </w:r>
    </w:p>
    <w:p>
      <w:pPr>
        <w:numPr>
          <w:ilvl w:val="0"/>
          <w:numId w:val="2"/>
        </w:numPr>
        <w:adjustRightInd w:val="0"/>
        <w:snapToGrid w:val="0"/>
        <w:spacing w:line="360" w:lineRule="auto"/>
        <w:ind w:left="900" w:leftChars="200" w:hanging="480" w:hangingChars="200"/>
        <w:rPr>
          <w:sz w:val="24"/>
        </w:rPr>
      </w:pPr>
      <w:r>
        <w:rPr>
          <w:rFonts w:hint="eastAsia"/>
          <w:sz w:val="24"/>
        </w:rPr>
        <w:t>《铝合金建筑型材 第1部分：基材》GB</w:t>
      </w:r>
      <w:r>
        <w:rPr>
          <w:sz w:val="24"/>
        </w:rPr>
        <w:t>/</w:t>
      </w:r>
      <w:r>
        <w:rPr>
          <w:rFonts w:hint="eastAsia"/>
          <w:sz w:val="24"/>
        </w:rPr>
        <w:t>T5237.1-2017</w:t>
      </w:r>
    </w:p>
    <w:p>
      <w:pPr>
        <w:numPr>
          <w:ilvl w:val="0"/>
          <w:numId w:val="2"/>
        </w:numPr>
        <w:adjustRightInd w:val="0"/>
        <w:snapToGrid w:val="0"/>
        <w:spacing w:line="360" w:lineRule="auto"/>
        <w:ind w:left="900" w:leftChars="200" w:hanging="480" w:hangingChars="200"/>
        <w:rPr>
          <w:sz w:val="24"/>
        </w:rPr>
      </w:pPr>
      <w:r>
        <w:rPr>
          <w:rFonts w:hint="eastAsia"/>
          <w:sz w:val="24"/>
        </w:rPr>
        <w:t>《铝合金建筑型材 第2部分：阳极氧化型材》GB</w:t>
      </w:r>
      <w:r>
        <w:rPr>
          <w:sz w:val="24"/>
        </w:rPr>
        <w:t>/</w:t>
      </w:r>
      <w:r>
        <w:rPr>
          <w:rFonts w:hint="eastAsia"/>
          <w:sz w:val="24"/>
        </w:rPr>
        <w:t>T5237.2-2017</w:t>
      </w:r>
    </w:p>
    <w:p>
      <w:pPr>
        <w:numPr>
          <w:ilvl w:val="0"/>
          <w:numId w:val="2"/>
        </w:numPr>
        <w:adjustRightInd w:val="0"/>
        <w:snapToGrid w:val="0"/>
        <w:spacing w:line="360" w:lineRule="auto"/>
        <w:ind w:left="900" w:leftChars="200" w:hanging="480" w:hangingChars="200"/>
        <w:rPr>
          <w:sz w:val="24"/>
        </w:rPr>
      </w:pPr>
      <w:r>
        <w:rPr>
          <w:rFonts w:hint="eastAsia"/>
          <w:sz w:val="24"/>
        </w:rPr>
        <w:t>《铝合金建筑型材 第3部分：电泳涂漆型材》GB</w:t>
      </w:r>
      <w:r>
        <w:rPr>
          <w:sz w:val="24"/>
        </w:rPr>
        <w:t>/</w:t>
      </w:r>
      <w:r>
        <w:rPr>
          <w:rFonts w:hint="eastAsia"/>
          <w:sz w:val="24"/>
        </w:rPr>
        <w:t>T5237.3-2017</w:t>
      </w:r>
    </w:p>
    <w:p>
      <w:pPr>
        <w:numPr>
          <w:ilvl w:val="0"/>
          <w:numId w:val="2"/>
        </w:numPr>
        <w:adjustRightInd w:val="0"/>
        <w:snapToGrid w:val="0"/>
        <w:spacing w:line="360" w:lineRule="auto"/>
        <w:ind w:left="900" w:leftChars="200" w:hanging="480" w:hangingChars="200"/>
        <w:rPr>
          <w:sz w:val="24"/>
        </w:rPr>
      </w:pPr>
      <w:r>
        <w:rPr>
          <w:rFonts w:hint="eastAsia"/>
          <w:sz w:val="24"/>
        </w:rPr>
        <w:t>《铝合金建筑型材 第4部分：喷粉型材》GB</w:t>
      </w:r>
      <w:r>
        <w:rPr>
          <w:sz w:val="24"/>
        </w:rPr>
        <w:t>/</w:t>
      </w:r>
      <w:r>
        <w:rPr>
          <w:rFonts w:hint="eastAsia"/>
          <w:sz w:val="24"/>
        </w:rPr>
        <w:t>T5237.4-2017</w:t>
      </w:r>
    </w:p>
    <w:p>
      <w:pPr>
        <w:numPr>
          <w:ilvl w:val="0"/>
          <w:numId w:val="2"/>
        </w:numPr>
        <w:adjustRightInd w:val="0"/>
        <w:snapToGrid w:val="0"/>
        <w:spacing w:line="360" w:lineRule="auto"/>
        <w:ind w:left="900" w:leftChars="200" w:hanging="480" w:hangingChars="200"/>
        <w:rPr>
          <w:sz w:val="24"/>
        </w:rPr>
      </w:pPr>
      <w:r>
        <w:rPr>
          <w:rFonts w:hint="eastAsia"/>
          <w:sz w:val="24"/>
        </w:rPr>
        <w:t>《铝合金建筑型材 第5部分：喷漆型材》GB</w:t>
      </w:r>
      <w:r>
        <w:rPr>
          <w:sz w:val="24"/>
        </w:rPr>
        <w:t>/</w:t>
      </w:r>
      <w:r>
        <w:rPr>
          <w:rFonts w:hint="eastAsia"/>
          <w:sz w:val="24"/>
        </w:rPr>
        <w:t>T5237.5-2017</w:t>
      </w:r>
    </w:p>
    <w:p>
      <w:pPr>
        <w:numPr>
          <w:ilvl w:val="0"/>
          <w:numId w:val="2"/>
        </w:numPr>
        <w:adjustRightInd w:val="0"/>
        <w:snapToGrid w:val="0"/>
        <w:spacing w:line="360" w:lineRule="auto"/>
        <w:ind w:left="900" w:leftChars="200" w:hanging="480" w:hangingChars="200"/>
        <w:rPr>
          <w:sz w:val="24"/>
        </w:rPr>
      </w:pPr>
      <w:r>
        <w:rPr>
          <w:rFonts w:hint="eastAsia"/>
          <w:sz w:val="24"/>
        </w:rPr>
        <w:t>《铝合金建筑型材 第6部分：隔热型材》GB</w:t>
      </w:r>
      <w:r>
        <w:rPr>
          <w:sz w:val="24"/>
        </w:rPr>
        <w:t>/</w:t>
      </w:r>
      <w:r>
        <w:rPr>
          <w:rFonts w:hint="eastAsia"/>
          <w:sz w:val="24"/>
        </w:rPr>
        <w:t>T5237.6-2017</w:t>
      </w:r>
    </w:p>
    <w:p>
      <w:pPr>
        <w:numPr>
          <w:ilvl w:val="0"/>
          <w:numId w:val="2"/>
        </w:numPr>
        <w:adjustRightInd w:val="0"/>
        <w:snapToGrid w:val="0"/>
        <w:spacing w:line="360" w:lineRule="auto"/>
        <w:ind w:left="900" w:leftChars="200" w:hanging="480" w:hangingChars="200"/>
        <w:outlineLvl w:val="2"/>
        <w:rPr>
          <w:sz w:val="24"/>
        </w:rPr>
      </w:pPr>
      <w:bookmarkStart w:id="5" w:name="_Toc28143"/>
      <w:r>
        <w:rPr>
          <w:rFonts w:hint="eastAsia"/>
          <w:sz w:val="24"/>
        </w:rPr>
        <w:t>《建筑用隔热铝合金型材》JG/T175-2011</w:t>
      </w:r>
      <w:bookmarkEnd w:id="5"/>
    </w:p>
    <w:p>
      <w:pPr>
        <w:numPr>
          <w:ilvl w:val="0"/>
          <w:numId w:val="2"/>
        </w:numPr>
        <w:adjustRightInd w:val="0"/>
        <w:snapToGrid w:val="0"/>
        <w:spacing w:line="360" w:lineRule="auto"/>
        <w:ind w:left="900" w:leftChars="200" w:hanging="480" w:hangingChars="200"/>
        <w:rPr>
          <w:sz w:val="24"/>
        </w:rPr>
      </w:pPr>
      <w:r>
        <w:rPr>
          <w:rFonts w:hint="eastAsia"/>
          <w:sz w:val="24"/>
        </w:rPr>
        <w:t>《建筑门窗、幕墙用密封胶条》GB/T</w:t>
      </w:r>
      <w:r>
        <w:rPr>
          <w:sz w:val="24"/>
        </w:rPr>
        <w:t>24498</w:t>
      </w:r>
      <w:r>
        <w:rPr>
          <w:rFonts w:hint="eastAsia"/>
          <w:sz w:val="24"/>
        </w:rPr>
        <w:t>-20</w:t>
      </w:r>
      <w:r>
        <w:rPr>
          <w:sz w:val="24"/>
        </w:rPr>
        <w:t>09</w:t>
      </w:r>
    </w:p>
    <w:p>
      <w:pPr>
        <w:numPr>
          <w:ilvl w:val="0"/>
          <w:numId w:val="2"/>
        </w:numPr>
        <w:adjustRightInd w:val="0"/>
        <w:snapToGrid w:val="0"/>
        <w:spacing w:line="360" w:lineRule="auto"/>
        <w:ind w:left="900" w:leftChars="200" w:hanging="480" w:hangingChars="200"/>
        <w:rPr>
          <w:sz w:val="24"/>
        </w:rPr>
      </w:pPr>
      <w:r>
        <w:rPr>
          <w:rFonts w:hint="eastAsia"/>
          <w:sz w:val="24"/>
        </w:rPr>
        <w:t>《建筑门窗复合密封胶条》JG/T</w:t>
      </w:r>
      <w:r>
        <w:rPr>
          <w:sz w:val="24"/>
        </w:rPr>
        <w:t>386</w:t>
      </w:r>
      <w:r>
        <w:rPr>
          <w:rFonts w:hint="eastAsia"/>
          <w:sz w:val="24"/>
        </w:rPr>
        <w:t>-201</w:t>
      </w:r>
      <w:r>
        <w:rPr>
          <w:sz w:val="24"/>
        </w:rPr>
        <w:t>2</w:t>
      </w:r>
    </w:p>
    <w:p>
      <w:pPr>
        <w:numPr>
          <w:ilvl w:val="0"/>
          <w:numId w:val="2"/>
        </w:numPr>
        <w:adjustRightInd w:val="0"/>
        <w:snapToGrid w:val="0"/>
        <w:spacing w:line="360" w:lineRule="auto"/>
        <w:ind w:left="900" w:leftChars="200" w:hanging="480" w:hangingChars="200"/>
        <w:rPr>
          <w:sz w:val="24"/>
        </w:rPr>
      </w:pPr>
      <w:r>
        <w:rPr>
          <w:rFonts w:hint="eastAsia"/>
          <w:sz w:val="24"/>
        </w:rPr>
        <w:t>《建筑门窗密封毛条》JC/T</w:t>
      </w:r>
      <w:r>
        <w:rPr>
          <w:sz w:val="24"/>
        </w:rPr>
        <w:t>635</w:t>
      </w:r>
      <w:r>
        <w:rPr>
          <w:rFonts w:hint="eastAsia"/>
          <w:sz w:val="24"/>
        </w:rPr>
        <w:t>-201</w:t>
      </w:r>
      <w:r>
        <w:rPr>
          <w:sz w:val="24"/>
        </w:rPr>
        <w:t>1</w:t>
      </w:r>
    </w:p>
    <w:p>
      <w:pPr>
        <w:numPr>
          <w:ilvl w:val="0"/>
          <w:numId w:val="2"/>
        </w:numPr>
        <w:adjustRightInd w:val="0"/>
        <w:snapToGrid w:val="0"/>
        <w:spacing w:line="360" w:lineRule="auto"/>
        <w:ind w:left="900" w:leftChars="200" w:hanging="480" w:hangingChars="200"/>
        <w:rPr>
          <w:sz w:val="24"/>
        </w:rPr>
      </w:pPr>
      <w:r>
        <w:rPr>
          <w:rFonts w:hint="eastAsia"/>
          <w:sz w:val="24"/>
        </w:rPr>
        <w:t>《硅酮和改性硅酮建筑密封胶》GB/T</w:t>
      </w:r>
      <w:r>
        <w:rPr>
          <w:sz w:val="24"/>
        </w:rPr>
        <w:t>14683</w:t>
      </w:r>
      <w:r>
        <w:rPr>
          <w:rFonts w:hint="eastAsia"/>
          <w:sz w:val="24"/>
        </w:rPr>
        <w:t>-20</w:t>
      </w:r>
      <w:r>
        <w:rPr>
          <w:sz w:val="24"/>
        </w:rPr>
        <w:t>17</w:t>
      </w:r>
    </w:p>
    <w:p>
      <w:pPr>
        <w:numPr>
          <w:ilvl w:val="0"/>
          <w:numId w:val="2"/>
        </w:numPr>
        <w:adjustRightInd w:val="0"/>
        <w:snapToGrid w:val="0"/>
        <w:spacing w:line="360" w:lineRule="auto"/>
        <w:ind w:left="900" w:leftChars="200" w:hanging="480" w:hangingChars="200"/>
        <w:rPr>
          <w:sz w:val="24"/>
        </w:rPr>
      </w:pPr>
      <w:r>
        <w:rPr>
          <w:rFonts w:hint="eastAsia"/>
          <w:sz w:val="24"/>
        </w:rPr>
        <w:t>《建筑窗用弹性密封胶》JC/T</w:t>
      </w:r>
      <w:r>
        <w:rPr>
          <w:sz w:val="24"/>
        </w:rPr>
        <w:t>485</w:t>
      </w:r>
      <w:r>
        <w:rPr>
          <w:rFonts w:hint="eastAsia"/>
          <w:sz w:val="24"/>
        </w:rPr>
        <w:t>-20</w:t>
      </w:r>
      <w:r>
        <w:rPr>
          <w:sz w:val="24"/>
        </w:rPr>
        <w:t>07</w:t>
      </w:r>
    </w:p>
    <w:p>
      <w:pPr>
        <w:numPr>
          <w:ilvl w:val="0"/>
          <w:numId w:val="2"/>
        </w:numPr>
        <w:adjustRightInd w:val="0"/>
        <w:snapToGrid w:val="0"/>
        <w:spacing w:line="360" w:lineRule="auto"/>
        <w:ind w:left="900" w:leftChars="200" w:hanging="480" w:hangingChars="200"/>
        <w:rPr>
          <w:sz w:val="24"/>
        </w:rPr>
      </w:pPr>
      <w:r>
        <w:rPr>
          <w:rFonts w:hint="eastAsia"/>
          <w:sz w:val="24"/>
        </w:rPr>
        <w:t>《建筑用阻燃密封胶》GB/T</w:t>
      </w:r>
      <w:r>
        <w:rPr>
          <w:sz w:val="24"/>
        </w:rPr>
        <w:t>24267</w:t>
      </w:r>
      <w:r>
        <w:rPr>
          <w:rFonts w:hint="eastAsia"/>
          <w:sz w:val="24"/>
        </w:rPr>
        <w:t>-20</w:t>
      </w:r>
      <w:r>
        <w:rPr>
          <w:sz w:val="24"/>
        </w:rPr>
        <w:t>09</w:t>
      </w:r>
    </w:p>
    <w:p>
      <w:pPr>
        <w:numPr>
          <w:ilvl w:val="0"/>
          <w:numId w:val="2"/>
        </w:numPr>
        <w:adjustRightInd w:val="0"/>
        <w:snapToGrid w:val="0"/>
        <w:spacing w:line="360" w:lineRule="auto"/>
        <w:ind w:left="900" w:leftChars="200" w:hanging="480" w:hangingChars="200"/>
        <w:rPr>
          <w:sz w:val="24"/>
        </w:rPr>
      </w:pPr>
      <w:r>
        <w:rPr>
          <w:rFonts w:hint="eastAsia"/>
          <w:sz w:val="24"/>
        </w:rPr>
        <w:t>《绝热用岩棉、矿渣棉及其制品》GB/T11835-2016</w:t>
      </w:r>
    </w:p>
    <w:p>
      <w:pPr>
        <w:numPr>
          <w:ilvl w:val="0"/>
          <w:numId w:val="2"/>
        </w:numPr>
        <w:adjustRightInd w:val="0"/>
        <w:snapToGrid w:val="0"/>
        <w:spacing w:line="360" w:lineRule="auto"/>
        <w:ind w:left="900" w:leftChars="200" w:hanging="480" w:hangingChars="200"/>
        <w:rPr>
          <w:sz w:val="24"/>
        </w:rPr>
      </w:pPr>
      <w:r>
        <w:rPr>
          <w:rFonts w:hint="eastAsia"/>
          <w:sz w:val="24"/>
        </w:rPr>
        <w:t>《建筑材料及制品燃烧性能分级》GB8624-2012</w:t>
      </w:r>
    </w:p>
    <w:p>
      <w:pPr>
        <w:numPr>
          <w:ilvl w:val="0"/>
          <w:numId w:val="2"/>
        </w:numPr>
        <w:adjustRightInd w:val="0"/>
        <w:snapToGrid w:val="0"/>
        <w:spacing w:line="360" w:lineRule="auto"/>
        <w:ind w:left="900" w:leftChars="200" w:hanging="480" w:hangingChars="200"/>
        <w:rPr>
          <w:sz w:val="24"/>
        </w:rPr>
      </w:pPr>
      <w:r>
        <w:rPr>
          <w:rFonts w:hint="eastAsia"/>
          <w:sz w:val="24"/>
        </w:rPr>
        <w:t>《建筑用岩棉绝热制品》GB/T19686-2015</w:t>
      </w:r>
    </w:p>
    <w:p>
      <w:pPr>
        <w:adjustRightInd w:val="0"/>
        <w:snapToGrid w:val="0"/>
        <w:spacing w:line="360" w:lineRule="auto"/>
        <w:rPr>
          <w:rFonts w:hint="eastAsia"/>
          <w:sz w:val="24"/>
        </w:rPr>
      </w:pPr>
      <w:r>
        <w:rPr>
          <w:rFonts w:hint="eastAsia"/>
          <w:sz w:val="24"/>
        </w:rPr>
        <w:t>注：上文未列的标准、规范以国家、行业、团体现行标准、规范为准。</w:t>
      </w:r>
    </w:p>
    <w:p>
      <w:pPr>
        <w:jc w:val="center"/>
        <w:rPr>
          <w:rFonts w:ascii="黑体" w:hAnsi="黑体" w:eastAsia="黑体"/>
          <w:sz w:val="30"/>
          <w:szCs w:val="30"/>
        </w:rPr>
        <w:sectPr>
          <w:pgSz w:w="11906" w:h="16838"/>
          <w:pgMar w:top="1440" w:right="1587" w:bottom="1440" w:left="1247" w:header="851" w:footer="992" w:gutter="0"/>
          <w:pgNumType w:fmt="numberInDash"/>
          <w:cols w:space="720" w:num="1"/>
          <w:docGrid w:type="lines" w:linePitch="312" w:charSpace="0"/>
        </w:sectPr>
      </w:pPr>
    </w:p>
    <w:p>
      <w:pPr>
        <w:jc w:val="center"/>
        <w:outlineLvl w:val="1"/>
        <w:rPr>
          <w:b/>
          <w:bCs/>
          <w:sz w:val="10"/>
          <w:szCs w:val="10"/>
        </w:rPr>
      </w:pPr>
      <w:bookmarkStart w:id="6" w:name="_Toc7055"/>
      <w:r>
        <w:rPr>
          <w:rFonts w:hint="eastAsia" w:ascii="黑体" w:hAnsi="黑体" w:eastAsia="黑体"/>
          <w:sz w:val="30"/>
          <w:szCs w:val="30"/>
        </w:rPr>
        <w:t>三、工程复查实施细则</w:t>
      </w:r>
      <w:r>
        <w:rPr>
          <w:rFonts w:hint="eastAsia" w:ascii="宋体" w:hAnsi="宋体"/>
          <w:sz w:val="30"/>
          <w:szCs w:val="30"/>
        </w:rPr>
        <w:t>—</w:t>
      </w:r>
      <w:r>
        <w:rPr>
          <w:rFonts w:hint="eastAsia" w:ascii="宋体" w:hAnsi="宋体"/>
          <w:bCs/>
          <w:sz w:val="30"/>
          <w:szCs w:val="30"/>
        </w:rPr>
        <w:t>—建筑幕墙类（建筑门窗工程）</w:t>
      </w:r>
      <w:bookmarkEnd w:id="6"/>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trPr>
        <w:tc>
          <w:tcPr>
            <w:tcW w:w="567"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必要文件：</w:t>
            </w:r>
          </w:p>
          <w:p>
            <w:pPr>
              <w:pStyle w:val="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企业营业执照（上一年度参评的单位可提供在有效期内的加盖本单位公章的复印件）；</w:t>
            </w:r>
          </w:p>
          <w:p>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安全生产许可证（上一年度参评的单位可提供在有效期内的加盖本单位公章的复印件）；</w:t>
            </w:r>
          </w:p>
          <w:p>
            <w:pPr>
              <w:pStyle w:val="4"/>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项目经理注册建造师证及安全考核合格证书；</w:t>
            </w:r>
          </w:p>
          <w:p>
            <w:pPr>
              <w:pStyle w:val="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建筑门窗工程施工合同（含施工范围、面积、金额等）；</w:t>
            </w:r>
          </w:p>
          <w:p>
            <w:pPr>
              <w:pStyle w:val="4"/>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门窗工程竣工验收资料（建设、设计、监理、施工等单位签章必须齐全）；</w:t>
            </w:r>
          </w:p>
          <w:p>
            <w:pPr>
              <w:pStyle w:val="4"/>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消防验收意见书（工程名称、验收范围、主管部门公章、日期必须齐全；结论为合格；消防验收意见书中提出的整改意见如涉及门窗部分应有有关部门的复查合格记录）；</w:t>
            </w:r>
          </w:p>
          <w:p>
            <w:pPr>
              <w:pStyle w:val="4"/>
              <w:snapToGrid w:val="0"/>
              <w:spacing w:line="276" w:lineRule="auto"/>
              <w:ind w:firstLine="0" w:firstLineChars="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工程验收合格备案证书。</w:t>
            </w:r>
          </w:p>
        </w:tc>
        <w:tc>
          <w:tcPr>
            <w:tcW w:w="2409" w:type="dxa"/>
            <w:vMerge w:val="restart"/>
            <w:tcBorders>
              <w:top w:val="single" w:color="auto" w:sz="4" w:space="0"/>
              <w:left w:val="single" w:color="auto" w:sz="4" w:space="0"/>
              <w:right w:val="single" w:color="auto" w:sz="4" w:space="0"/>
            </w:tcBorders>
            <w:noWrap w:val="0"/>
            <w:vAlign w:val="center"/>
          </w:tcPr>
          <w:p>
            <w:pPr>
              <w:pStyle w:val="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必要文件有一项不合格或不符合要求者不予评审。</w:t>
            </w:r>
          </w:p>
          <w:p>
            <w:pPr>
              <w:pStyle w:val="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主要材料质量不符合标准、规范和设计要求的每项扣3-</w:t>
            </w:r>
            <w:bookmarkStart w:id="7" w:name="_GoBack"/>
            <w:bookmarkEnd w:id="7"/>
            <w:r>
              <w:rPr>
                <w:rFonts w:hint="eastAsia" w:ascii="宋体" w:hAnsi="宋体"/>
                <w:szCs w:val="21"/>
              </w:rPr>
              <w:t>5分；</w:t>
            </w:r>
          </w:p>
          <w:p>
            <w:pPr>
              <w:snapToGrid w:val="0"/>
              <w:spacing w:line="288" w:lineRule="auto"/>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无三性检测报告扣</w:t>
            </w:r>
            <w:r>
              <w:rPr>
                <w:rFonts w:ascii="宋体" w:hAnsi="宋体"/>
                <w:szCs w:val="21"/>
              </w:rPr>
              <w:t>15</w:t>
            </w:r>
            <w:r>
              <w:rPr>
                <w:rFonts w:hint="eastAsia" w:ascii="宋体" w:hAnsi="宋体"/>
                <w:szCs w:val="21"/>
              </w:rPr>
              <w:t>分，缺项的每项扣</w:t>
            </w:r>
            <w:r>
              <w:rPr>
                <w:rFonts w:ascii="宋体" w:hAnsi="宋体"/>
                <w:szCs w:val="21"/>
              </w:rPr>
              <w:t>5</w:t>
            </w:r>
            <w:r>
              <w:rPr>
                <w:rFonts w:hint="eastAsia" w:ascii="宋体" w:hAnsi="宋体"/>
                <w:szCs w:val="21"/>
              </w:rPr>
              <w:t>分；</w:t>
            </w:r>
          </w:p>
          <w:p>
            <w:pPr>
              <w:snapToGrid w:val="0"/>
              <w:spacing w:line="288" w:lineRule="auto"/>
              <w:jc w:val="lef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缺隐蔽工程记录的每项扣</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分；</w:t>
            </w:r>
          </w:p>
          <w:p>
            <w:pPr>
              <w:snapToGrid w:val="0"/>
              <w:spacing w:line="288" w:lineRule="auto"/>
              <w:jc w:val="left"/>
              <w:rPr>
                <w:rFonts w:ascii="宋体" w:hAnsi="宋体"/>
                <w:szCs w:val="21"/>
              </w:rPr>
            </w:pPr>
            <w:r>
              <w:rPr>
                <w:rFonts w:ascii="宋体" w:hAnsi="宋体"/>
                <w:szCs w:val="21"/>
              </w:rPr>
              <w:t>5.</w:t>
            </w:r>
            <w:r>
              <w:rPr>
                <w:rFonts w:hint="eastAsia" w:ascii="宋体" w:hAnsi="宋体"/>
                <w:szCs w:val="21"/>
              </w:rPr>
              <w:t>无现场淋水试验记录的扣</w:t>
            </w:r>
            <w:r>
              <w:rPr>
                <w:rFonts w:ascii="宋体" w:hAnsi="宋体"/>
                <w:szCs w:val="21"/>
              </w:rPr>
              <w:t>3</w:t>
            </w:r>
            <w:r>
              <w:rPr>
                <w:rFonts w:hint="eastAsia" w:ascii="宋体" w:hAnsi="宋体"/>
                <w:szCs w:val="21"/>
              </w:rPr>
              <w:t>分；</w:t>
            </w:r>
          </w:p>
          <w:p>
            <w:pPr>
              <w:snapToGrid w:val="0"/>
              <w:spacing w:line="288" w:lineRule="auto"/>
              <w:jc w:val="left"/>
              <w:rPr>
                <w:rFonts w:ascii="宋体" w:hAnsi="宋体"/>
                <w:szCs w:val="21"/>
              </w:rPr>
            </w:pPr>
            <w:r>
              <w:rPr>
                <w:rFonts w:ascii="宋体" w:hAnsi="宋体"/>
                <w:szCs w:val="21"/>
              </w:rPr>
              <w:t>6.</w:t>
            </w:r>
            <w:r>
              <w:rPr>
                <w:rFonts w:hint="eastAsia" w:ascii="宋体" w:hAnsi="宋体"/>
                <w:szCs w:val="21"/>
              </w:rPr>
              <w:t>提供的主材质量证明资料与工程所用材料不符的每项扣1-2分；</w:t>
            </w:r>
          </w:p>
          <w:p>
            <w:pPr>
              <w:pStyle w:val="4"/>
              <w:snapToGrid w:val="0"/>
              <w:spacing w:line="288" w:lineRule="auto"/>
              <w:ind w:firstLine="0" w:firstLineChars="0"/>
              <w:jc w:val="left"/>
              <w:rPr>
                <w:rFonts w:ascii="宋体" w:hAnsi="宋体"/>
                <w:szCs w:val="21"/>
              </w:rPr>
            </w:pPr>
            <w:r>
              <w:rPr>
                <w:rFonts w:ascii="宋体" w:hAnsi="宋体"/>
                <w:szCs w:val="21"/>
              </w:rPr>
              <w:t>7.</w:t>
            </w:r>
            <w:r>
              <w:rPr>
                <w:rFonts w:hint="eastAsia" w:ascii="宋体" w:hAnsi="宋体"/>
                <w:szCs w:val="21"/>
              </w:rPr>
              <w:t>其它不符合要求或不合规情况每项扣0.5-1分。</w:t>
            </w:r>
          </w:p>
        </w:tc>
        <w:tc>
          <w:tcPr>
            <w:tcW w:w="1701"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25分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pacing w:val="-4"/>
                <w:szCs w:val="21"/>
              </w:rPr>
            </w:pPr>
            <w:r>
              <w:rPr>
                <w:rFonts w:hint="eastAsia" w:ascii="黑体" w:hAnsi="黑体" w:eastAsia="黑体"/>
                <w:szCs w:val="21"/>
              </w:rPr>
              <w:t>质量管理资料：</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1</w:t>
            </w:r>
            <w:r>
              <w:rPr>
                <w:rFonts w:ascii="宋体" w:hAnsi="宋体"/>
                <w:spacing w:val="-4"/>
                <w:szCs w:val="21"/>
              </w:rPr>
              <w:t>.</w:t>
            </w:r>
            <w:r>
              <w:rPr>
                <w:rFonts w:hint="eastAsia" w:ascii="宋体" w:hAnsi="宋体"/>
                <w:spacing w:val="-4"/>
                <w:szCs w:val="21"/>
              </w:rPr>
              <w:t>门窗使用的材料、配件应符合规范、标准和设计要求，应有出厂合格证、检测报告、复试报告和进场验收记录；</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2</w:t>
            </w:r>
            <w:r>
              <w:rPr>
                <w:rFonts w:ascii="宋体" w:hAnsi="宋体"/>
                <w:spacing w:val="-4"/>
                <w:szCs w:val="21"/>
              </w:rPr>
              <w:t>.</w:t>
            </w:r>
            <w:r>
              <w:rPr>
                <w:rFonts w:hint="eastAsia" w:ascii="宋体" w:hAnsi="宋体"/>
                <w:spacing w:val="-4"/>
                <w:szCs w:val="21"/>
              </w:rPr>
              <w:t>每批门窗应提供出厂合格证、检验记录、进场验收记录；</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3</w:t>
            </w:r>
            <w:r>
              <w:rPr>
                <w:rFonts w:ascii="宋体" w:hAnsi="宋体"/>
                <w:spacing w:val="-4"/>
                <w:szCs w:val="21"/>
              </w:rPr>
              <w:t>.</w:t>
            </w:r>
            <w:r>
              <w:rPr>
                <w:rFonts w:hint="eastAsia" w:ascii="宋体" w:hAnsi="宋体"/>
                <w:spacing w:val="-4"/>
                <w:szCs w:val="21"/>
              </w:rPr>
              <w:t>应提供典型部位的门窗三性检测报告、门窗传热系数（如需），检测报告的门窗抗风压性能指标与结构计算书、设计说明应一致；</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4</w:t>
            </w:r>
            <w:r>
              <w:rPr>
                <w:rFonts w:ascii="宋体" w:hAnsi="宋体"/>
                <w:spacing w:val="-4"/>
                <w:szCs w:val="21"/>
              </w:rPr>
              <w:t>.</w:t>
            </w:r>
            <w:r>
              <w:rPr>
                <w:rFonts w:hint="eastAsia" w:ascii="宋体" w:hAnsi="宋体"/>
                <w:spacing w:val="-4"/>
                <w:szCs w:val="21"/>
              </w:rPr>
              <w:t>门窗各连接部位应牢固、可靠，隐蔽工程符合图纸要求，隐蔽工程记录真实、齐全并提供影像资料；隐蔽工程验收记录包括门窗四周与主体结构间封堵、门窗与主体结构连接、附框固定、防雷连接节点等；</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5</w:t>
            </w:r>
            <w:r>
              <w:rPr>
                <w:rFonts w:ascii="宋体" w:hAnsi="宋体"/>
                <w:spacing w:val="-4"/>
                <w:szCs w:val="21"/>
              </w:rPr>
              <w:t>.</w:t>
            </w:r>
            <w:r>
              <w:rPr>
                <w:rFonts w:hint="eastAsia" w:ascii="宋体" w:hAnsi="宋体"/>
                <w:spacing w:val="-4"/>
                <w:szCs w:val="21"/>
              </w:rPr>
              <w:t>应根据工程具体情况提供现场淋水试验记录、后置埋件现场拉拨力检测报告（如需）、防雷测试记录（如需）等；</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6</w:t>
            </w:r>
            <w:r>
              <w:rPr>
                <w:rFonts w:ascii="宋体" w:hAnsi="宋体"/>
                <w:spacing w:val="-4"/>
                <w:szCs w:val="21"/>
              </w:rPr>
              <w:t>.</w:t>
            </w:r>
            <w:r>
              <w:rPr>
                <w:rFonts w:hint="eastAsia" w:ascii="宋体" w:hAnsi="宋体"/>
                <w:spacing w:val="-4"/>
                <w:szCs w:val="21"/>
              </w:rPr>
              <w:t>提供玻璃传热系数、可见光透射比、露点等；</w:t>
            </w:r>
          </w:p>
          <w:p>
            <w:pPr>
              <w:pStyle w:val="4"/>
              <w:snapToGrid w:val="0"/>
              <w:spacing w:line="276" w:lineRule="auto"/>
              <w:ind w:firstLine="0" w:firstLineChars="0"/>
              <w:rPr>
                <w:rFonts w:ascii="宋体" w:hAnsi="宋体"/>
                <w:spacing w:val="-4"/>
                <w:szCs w:val="21"/>
              </w:rPr>
            </w:pPr>
            <w:r>
              <w:rPr>
                <w:rFonts w:hint="eastAsia" w:ascii="宋体" w:hAnsi="宋体"/>
                <w:spacing w:val="-4"/>
                <w:szCs w:val="21"/>
              </w:rPr>
              <w:t>7</w:t>
            </w:r>
            <w:r>
              <w:rPr>
                <w:rFonts w:ascii="宋体" w:hAnsi="宋体"/>
                <w:spacing w:val="-4"/>
                <w:szCs w:val="21"/>
              </w:rPr>
              <w:t>.</w:t>
            </w:r>
            <w:r>
              <w:rPr>
                <w:rFonts w:hint="eastAsia" w:ascii="宋体" w:hAnsi="宋体"/>
                <w:spacing w:val="-4"/>
                <w:szCs w:val="21"/>
              </w:rPr>
              <w:t>进口材料和附件应符合我国相关产品标准。</w:t>
            </w:r>
          </w:p>
        </w:tc>
        <w:tc>
          <w:tcPr>
            <w:tcW w:w="2409" w:type="dxa"/>
            <w:vMerge w:val="continue"/>
            <w:tcBorders>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p>
            <w:pPr>
              <w:snapToGrid w:val="0"/>
              <w:spacing w:line="288" w:lineRule="auto"/>
              <w:jc w:val="left"/>
              <w:rPr>
                <w:rFonts w:ascii="宋体" w:hAnsi="宋体"/>
                <w:szCs w:val="21"/>
              </w:rPr>
            </w:pPr>
            <w:r>
              <w:rPr>
                <w:rFonts w:hint="eastAsia" w:ascii="宋体" w:hAnsi="宋体"/>
                <w:szCs w:val="21"/>
              </w:rPr>
              <w:t>包括但不限于材料、施工以及施工管理等方面涉及工程质量性能、安全性、可靠性等方面的质量管理资料；</w:t>
            </w:r>
          </w:p>
          <w:p>
            <w:pPr>
              <w:snapToGrid w:val="0"/>
              <w:spacing w:line="288" w:lineRule="auto"/>
              <w:jc w:val="left"/>
              <w:rPr>
                <w:rFonts w:ascii="宋体" w:hAnsi="宋体"/>
                <w:szCs w:val="21"/>
              </w:rPr>
            </w:pPr>
          </w:p>
          <w:p>
            <w:pPr>
              <w:snapToGrid w:val="0"/>
              <w:spacing w:line="288" w:lineRule="auto"/>
              <w:jc w:val="left"/>
              <w:rPr>
                <w:rFonts w:ascii="宋体" w:hAnsi="宋体"/>
                <w:szCs w:val="21"/>
              </w:rPr>
            </w:pPr>
            <w:r>
              <w:rPr>
                <w:rFonts w:hint="eastAsia" w:ascii="宋体" w:hAnsi="宋体"/>
                <w:szCs w:val="21"/>
              </w:rPr>
              <w:t>隐蔽部位的质量管理资料</w:t>
            </w:r>
          </w:p>
          <w:p>
            <w:pPr>
              <w:snapToGrid w:val="0"/>
              <w:spacing w:line="288" w:lineRule="auto"/>
              <w:jc w:val="left"/>
              <w:rPr>
                <w:rFonts w:ascii="宋体" w:hAnsi="宋体"/>
                <w:szCs w:val="21"/>
              </w:rPr>
            </w:pPr>
          </w:p>
          <w:p>
            <w:pPr>
              <w:snapToGrid w:val="0"/>
              <w:spacing w:line="288" w:lineRule="auto"/>
              <w:jc w:val="left"/>
              <w:rPr>
                <w:rFonts w:ascii="宋体" w:hAnsi="宋体"/>
                <w:szCs w:val="21"/>
              </w:rPr>
            </w:pPr>
            <w:r>
              <w:rPr>
                <w:rFonts w:hint="eastAsia" w:ascii="宋体" w:hAnsi="宋体"/>
                <w:szCs w:val="21"/>
              </w:rPr>
              <w:t>高寒、台风等特殊气候地区的质量管理资料</w:t>
            </w: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结合工程实体查质量管理资料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热工计算书</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热工计算书审批手续应齐全并盖公章；</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工程主要门窗类型均应有热工计算（无保温隔热要求的门窗可不计算）；</w:t>
            </w:r>
          </w:p>
          <w:p>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各类型门窗的热工计算应齐全完整，并有明确结论且满足建筑节能设计指标要求；</w:t>
            </w:r>
          </w:p>
          <w:p>
            <w:pPr>
              <w:pStyle w:val="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正确选择热工计算参数（如气候分区、朝向、窗墙比、体型系数等）；</w:t>
            </w:r>
          </w:p>
          <w:p>
            <w:pPr>
              <w:pStyle w:val="4"/>
              <w:snapToGrid w:val="0"/>
              <w:spacing w:line="288"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热工计算应符合相关标准，寒冷和严寒地区应进行结露计算；</w:t>
            </w:r>
          </w:p>
          <w:p>
            <w:pPr>
              <w:pStyle w:val="4"/>
              <w:snapToGrid w:val="0"/>
              <w:spacing w:line="288" w:lineRule="auto"/>
              <w:ind w:firstLine="0" w:firstLineChars="0"/>
              <w:rPr>
                <w:rFonts w:ascii="宋体" w:hAnsi="宋体"/>
                <w:szCs w:val="21"/>
              </w:rPr>
            </w:pPr>
            <w:r>
              <w:rPr>
                <w:rFonts w:ascii="宋体" w:hAnsi="宋体"/>
                <w:szCs w:val="21"/>
              </w:rPr>
              <w:t>6.</w:t>
            </w:r>
            <w:r>
              <w:rPr>
                <w:rFonts w:hint="eastAsia" w:ascii="宋体" w:hAnsi="宋体"/>
                <w:szCs w:val="21"/>
              </w:rPr>
              <w:t>应提供建筑设计单位出具的建筑节能报告或建筑施工图设计说明中的节能专篇，明确各类型门窗应达到的热工性能指标。</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1.无热工计算书扣5分；热工计算书漏项扣1-2分；</w:t>
            </w:r>
          </w:p>
          <w:p>
            <w:pPr>
              <w:snapToGrid w:val="0"/>
              <w:spacing w:line="288" w:lineRule="auto"/>
              <w:rPr>
                <w:rFonts w:ascii="宋体" w:hAnsi="宋体"/>
                <w:szCs w:val="21"/>
              </w:rPr>
            </w:pPr>
            <w:r>
              <w:rPr>
                <w:rFonts w:hint="eastAsia" w:ascii="宋体" w:hAnsi="宋体"/>
                <w:szCs w:val="21"/>
              </w:rPr>
              <w:t>2.计算出现错误每项扣1-2分；</w:t>
            </w:r>
          </w:p>
          <w:p>
            <w:pPr>
              <w:snapToGrid w:val="0"/>
              <w:spacing w:line="288" w:lineRule="auto"/>
              <w:rPr>
                <w:rFonts w:ascii="宋体" w:hAnsi="宋体"/>
                <w:szCs w:val="21"/>
              </w:rPr>
            </w:pPr>
            <w:r>
              <w:rPr>
                <w:rFonts w:hint="eastAsia" w:ascii="宋体" w:hAnsi="宋体"/>
                <w:szCs w:val="21"/>
              </w:rPr>
              <w:t>3.其它不符合要求或不合规情况扣0.5-1分。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不能用建筑设计单位出具的建筑节能报告代替门窗工程热工计算书。</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结合工程实体查热工计算书和相关资料等。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结构计算书</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w:t>
            </w:r>
            <w:r>
              <w:rPr>
                <w:szCs w:val="21"/>
              </w:rPr>
              <w:t>.</w:t>
            </w:r>
            <w:r>
              <w:rPr>
                <w:rFonts w:hint="eastAsia"/>
                <w:szCs w:val="21"/>
              </w:rPr>
              <w:t>结构计算书审批手续应齐全并加盖公章；</w:t>
            </w:r>
          </w:p>
          <w:p>
            <w:pPr>
              <w:snapToGrid w:val="0"/>
              <w:spacing w:line="288" w:lineRule="auto"/>
              <w:rPr>
                <w:szCs w:val="21"/>
              </w:rPr>
            </w:pPr>
            <w:r>
              <w:rPr>
                <w:rFonts w:hint="eastAsia"/>
                <w:szCs w:val="21"/>
              </w:rPr>
              <w:t>2</w:t>
            </w:r>
            <w:r>
              <w:rPr>
                <w:szCs w:val="21"/>
              </w:rPr>
              <w:t>.</w:t>
            </w:r>
            <w:r>
              <w:rPr>
                <w:rFonts w:hint="eastAsia"/>
                <w:szCs w:val="21"/>
              </w:rPr>
              <w:t>工程主要门窗类型应提供结构计算书；</w:t>
            </w:r>
          </w:p>
          <w:p>
            <w:pPr>
              <w:snapToGrid w:val="0"/>
              <w:spacing w:line="288" w:lineRule="auto"/>
              <w:rPr>
                <w:szCs w:val="21"/>
              </w:rPr>
            </w:pPr>
            <w:r>
              <w:rPr>
                <w:rFonts w:hint="eastAsia"/>
                <w:szCs w:val="21"/>
              </w:rPr>
              <w:t>3</w:t>
            </w:r>
            <w:r>
              <w:rPr>
                <w:szCs w:val="21"/>
              </w:rPr>
              <w:t>.</w:t>
            </w:r>
            <w:r>
              <w:rPr>
                <w:rFonts w:hint="eastAsia"/>
                <w:szCs w:val="21"/>
              </w:rPr>
              <w:t>结构计算内容应齐全完整，包括面板、受力杆件、中竖梃、中横梃及连接部位强度计算（连接件及其间距、附框等）结构计算，开启扇计算（传力构件、五金件等），埋件计算和结构胶计算（如需）等，计算应有明确结论，计算结果满足工程设计要求；</w:t>
            </w:r>
          </w:p>
          <w:p>
            <w:pPr>
              <w:snapToGrid w:val="0"/>
              <w:spacing w:line="288" w:lineRule="auto"/>
              <w:rPr>
                <w:szCs w:val="21"/>
              </w:rPr>
            </w:pPr>
            <w:r>
              <w:rPr>
                <w:rFonts w:hint="eastAsia"/>
                <w:szCs w:val="21"/>
              </w:rPr>
              <w:t>4</w:t>
            </w:r>
            <w:r>
              <w:rPr>
                <w:szCs w:val="21"/>
              </w:rPr>
              <w:t>.</w:t>
            </w:r>
            <w:r>
              <w:rPr>
                <w:rFonts w:hint="eastAsia"/>
                <w:szCs w:val="21"/>
              </w:rPr>
              <w:t>正确选择计算单元，对受力最不利的门窗进行计算；</w:t>
            </w:r>
          </w:p>
          <w:p>
            <w:pPr>
              <w:snapToGrid w:val="0"/>
              <w:spacing w:line="288" w:lineRule="auto"/>
              <w:rPr>
                <w:szCs w:val="21"/>
              </w:rPr>
            </w:pPr>
            <w:r>
              <w:rPr>
                <w:rFonts w:hint="eastAsia"/>
                <w:szCs w:val="21"/>
              </w:rPr>
              <w:t>5</w:t>
            </w:r>
            <w:r>
              <w:rPr>
                <w:szCs w:val="21"/>
              </w:rPr>
              <w:t>.</w:t>
            </w:r>
            <w:r>
              <w:rPr>
                <w:rFonts w:hint="eastAsia"/>
                <w:szCs w:val="21"/>
              </w:rPr>
              <w:t>正确、合理选择计算参数（各种荷载及作用的参数，荷载组合，材料力学特性数值）；</w:t>
            </w:r>
          </w:p>
          <w:p>
            <w:pPr>
              <w:snapToGrid w:val="0"/>
              <w:spacing w:line="288" w:lineRule="auto"/>
              <w:rPr>
                <w:szCs w:val="21"/>
              </w:rPr>
            </w:pPr>
            <w:r>
              <w:rPr>
                <w:rFonts w:hint="eastAsia"/>
                <w:szCs w:val="21"/>
              </w:rPr>
              <w:t>6</w:t>
            </w:r>
            <w:r>
              <w:rPr>
                <w:szCs w:val="21"/>
              </w:rPr>
              <w:t>.</w:t>
            </w:r>
            <w:r>
              <w:rPr>
                <w:rFonts w:hint="eastAsia"/>
                <w:szCs w:val="21"/>
              </w:rPr>
              <w:t>受力杆件、面材、连接结构的计算模型应当与图纸及实际施工情况一致，真实、正确反映受力情况；</w:t>
            </w:r>
          </w:p>
          <w:p>
            <w:pPr>
              <w:snapToGrid w:val="0"/>
              <w:spacing w:line="288" w:lineRule="auto"/>
              <w:rPr>
                <w:szCs w:val="21"/>
              </w:rPr>
            </w:pPr>
            <w:r>
              <w:rPr>
                <w:rFonts w:hint="eastAsia"/>
                <w:szCs w:val="21"/>
              </w:rPr>
              <w:t>7</w:t>
            </w:r>
            <w:r>
              <w:rPr>
                <w:szCs w:val="21"/>
              </w:rPr>
              <w:t>.</w:t>
            </w:r>
            <w:r>
              <w:rPr>
                <w:rFonts w:hint="eastAsia"/>
                <w:szCs w:val="21"/>
              </w:rPr>
              <w:t>有后置埋件的，应对后置锚栓进行受力计算。</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w:t>
            </w:r>
            <w:r>
              <w:rPr>
                <w:szCs w:val="21"/>
              </w:rPr>
              <w:t>.</w:t>
            </w:r>
            <w:r>
              <w:rPr>
                <w:rFonts w:hint="eastAsia"/>
                <w:szCs w:val="21"/>
              </w:rPr>
              <w:t>计算出现严重错误、漏项的，每项扣3-10分；</w:t>
            </w:r>
          </w:p>
          <w:p>
            <w:pPr>
              <w:snapToGrid w:val="0"/>
              <w:spacing w:line="288" w:lineRule="auto"/>
              <w:rPr>
                <w:szCs w:val="21"/>
              </w:rPr>
            </w:pPr>
            <w:r>
              <w:rPr>
                <w:rFonts w:hint="eastAsia"/>
                <w:szCs w:val="21"/>
              </w:rPr>
              <w:t>2</w:t>
            </w:r>
            <w:r>
              <w:rPr>
                <w:szCs w:val="21"/>
              </w:rPr>
              <w:t>.</w:t>
            </w:r>
            <w:r>
              <w:rPr>
                <w:rFonts w:hint="eastAsia"/>
                <w:szCs w:val="21"/>
              </w:rPr>
              <w:t>缺中横梃、中竖梃结构计算的，每项扣5分；</w:t>
            </w:r>
          </w:p>
          <w:p>
            <w:pPr>
              <w:snapToGrid w:val="0"/>
              <w:spacing w:line="288" w:lineRule="auto"/>
              <w:rPr>
                <w:szCs w:val="21"/>
              </w:rPr>
            </w:pPr>
            <w:r>
              <w:rPr>
                <w:rFonts w:hint="eastAsia"/>
                <w:szCs w:val="21"/>
              </w:rPr>
              <w:t>3</w:t>
            </w:r>
            <w:r>
              <w:rPr>
                <w:szCs w:val="21"/>
              </w:rPr>
              <w:t>.</w:t>
            </w:r>
            <w:r>
              <w:rPr>
                <w:rFonts w:hint="eastAsia"/>
                <w:szCs w:val="21"/>
              </w:rPr>
              <w:t>缺开启扇和连接件计算的，每项扣5分；</w:t>
            </w:r>
          </w:p>
          <w:p>
            <w:pPr>
              <w:snapToGrid w:val="0"/>
              <w:spacing w:line="288" w:lineRule="auto"/>
              <w:rPr>
                <w:rFonts w:hint="eastAsia"/>
                <w:szCs w:val="21"/>
              </w:rPr>
            </w:pPr>
            <w:r>
              <w:rPr>
                <w:rFonts w:hint="eastAsia"/>
                <w:szCs w:val="21"/>
              </w:rPr>
              <w:t>4</w:t>
            </w:r>
            <w:r>
              <w:rPr>
                <w:szCs w:val="21"/>
              </w:rPr>
              <w:t>.</w:t>
            </w:r>
            <w:r>
              <w:rPr>
                <w:rFonts w:hint="eastAsia"/>
                <w:szCs w:val="21"/>
              </w:rPr>
              <w:t>其它不符合要求或不合规情况每项扣0.5-1分。</w:t>
            </w:r>
          </w:p>
        </w:tc>
        <w:tc>
          <w:tcPr>
            <w:tcW w:w="1701" w:type="dxa"/>
            <w:tcBorders>
              <w:left w:val="single" w:color="auto" w:sz="4" w:space="0"/>
              <w:right w:val="single" w:color="auto" w:sz="4" w:space="0"/>
            </w:tcBorders>
            <w:noWrap w:val="0"/>
            <w:vAlign w:val="center"/>
          </w:tcPr>
          <w:p>
            <w:pPr>
              <w:snapToGrid w:val="0"/>
              <w:spacing w:line="288" w:lineRule="auto"/>
              <w:rPr>
                <w:szCs w:val="21"/>
              </w:rPr>
            </w:pPr>
            <w:r>
              <w:rPr>
                <w:rFonts w:hint="eastAsia"/>
                <w:szCs w:val="21"/>
              </w:rPr>
              <w:t>结构计算应与竣工图纸、工程实体相一致。</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结合工程实体查结构计算书和技术资料等。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竣工图纸</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szCs w:val="21"/>
              </w:rPr>
            </w:pPr>
          </w:p>
          <w:p>
            <w:pPr>
              <w:spacing w:line="276" w:lineRule="auto"/>
              <w:rPr>
                <w:szCs w:val="21"/>
              </w:rPr>
            </w:pPr>
            <w:r>
              <w:rPr>
                <w:rFonts w:hint="eastAsia"/>
                <w:szCs w:val="21"/>
              </w:rPr>
              <w:t>1</w:t>
            </w:r>
            <w:r>
              <w:rPr>
                <w:szCs w:val="21"/>
              </w:rPr>
              <w:t>.</w:t>
            </w:r>
            <w:r>
              <w:rPr>
                <w:rFonts w:hint="eastAsia"/>
                <w:szCs w:val="21"/>
              </w:rPr>
              <w:t>竣工图纸应按标准要求编制，审批手续齐全；</w:t>
            </w:r>
          </w:p>
          <w:p>
            <w:pPr>
              <w:spacing w:line="276" w:lineRule="auto"/>
              <w:rPr>
                <w:spacing w:val="-6"/>
                <w:szCs w:val="21"/>
              </w:rPr>
            </w:pPr>
            <w:r>
              <w:rPr>
                <w:rFonts w:hint="eastAsia"/>
                <w:szCs w:val="21"/>
              </w:rPr>
              <w:t>2</w:t>
            </w:r>
            <w:r>
              <w:rPr>
                <w:szCs w:val="21"/>
              </w:rPr>
              <w:t>.</w:t>
            </w:r>
            <w:r>
              <w:rPr>
                <w:rFonts w:hint="eastAsia"/>
                <w:szCs w:val="21"/>
              </w:rPr>
              <w:t>竣工图内容应包括：目录、设计说明、平面图、立面图、剖面图、各类型门窗的大样详图、节点图、构件图、型材截面图、预埋件或后置埋件图</w:t>
            </w:r>
            <w:r>
              <w:rPr>
                <w:rFonts w:hint="eastAsia"/>
                <w:spacing w:val="-6"/>
                <w:szCs w:val="21"/>
              </w:rPr>
              <w:t>（如需）、与主体结构连接用构（附）件布置图等；</w:t>
            </w:r>
          </w:p>
          <w:p>
            <w:pPr>
              <w:spacing w:line="276" w:lineRule="auto"/>
              <w:rPr>
                <w:szCs w:val="21"/>
              </w:rPr>
            </w:pPr>
            <w:r>
              <w:rPr>
                <w:rFonts w:hint="eastAsia"/>
                <w:szCs w:val="21"/>
              </w:rPr>
              <w:t>3</w:t>
            </w:r>
            <w:r>
              <w:rPr>
                <w:szCs w:val="21"/>
              </w:rPr>
              <w:t>.</w:t>
            </w:r>
            <w:r>
              <w:rPr>
                <w:rFonts w:hint="eastAsia"/>
                <w:szCs w:val="21"/>
              </w:rPr>
              <w:t>设计说明应包括如下内容：工程概况、设计参数、设计依据、设计标准、设计范围、物理性能、热工性能、节能设计专项说明、所用材料的技术要求及规格、防排水说明、防雷防火及耐火完整性说明、现场淋水试验技术要求、加工制作技术要求等；</w:t>
            </w:r>
          </w:p>
          <w:p>
            <w:pPr>
              <w:spacing w:line="276" w:lineRule="auto"/>
              <w:rPr>
                <w:szCs w:val="21"/>
              </w:rPr>
            </w:pPr>
            <w:r>
              <w:rPr>
                <w:rFonts w:hint="eastAsia"/>
                <w:szCs w:val="21"/>
              </w:rPr>
              <w:t>4</w:t>
            </w:r>
            <w:r>
              <w:rPr>
                <w:szCs w:val="21"/>
              </w:rPr>
              <w:t>.</w:t>
            </w:r>
            <w:r>
              <w:rPr>
                <w:rFonts w:hint="eastAsia"/>
                <w:szCs w:val="21"/>
              </w:rPr>
              <w:t>门窗大样图应标明门窗位置、数量、材料配置等；</w:t>
            </w:r>
          </w:p>
          <w:p>
            <w:pPr>
              <w:spacing w:line="276" w:lineRule="auto"/>
              <w:rPr>
                <w:szCs w:val="21"/>
              </w:rPr>
            </w:pPr>
            <w:r>
              <w:rPr>
                <w:rFonts w:hint="eastAsia"/>
                <w:szCs w:val="21"/>
              </w:rPr>
              <w:t>5</w:t>
            </w:r>
            <w:r>
              <w:rPr>
                <w:szCs w:val="21"/>
              </w:rPr>
              <w:t>.</w:t>
            </w:r>
            <w:r>
              <w:rPr>
                <w:rFonts w:hint="eastAsia"/>
                <w:szCs w:val="21"/>
              </w:rPr>
              <w:t>门窗所用材料、节点构造、性能等应符合相关规范和标准的要求，符合原建筑设计的要求。主要包括按规范要求采用安全玻璃，推拉窗应设置防止窗扇向室外脱落装置，外开窗应有防脱落装置，外平开窗宽度不大于650mm，超高超重门应采用防脱落装置，中梃与主体结构应连接可靠，不得采用全隐框窗设计，不得使用射钉与砌体墙直接连接，固定门窗、玻璃镶嵌安装尺寸应满足设计要求，门窗与主体结构间应密封防水等；</w:t>
            </w:r>
          </w:p>
          <w:p>
            <w:pPr>
              <w:spacing w:line="276" w:lineRule="auto"/>
              <w:rPr>
                <w:szCs w:val="21"/>
              </w:rPr>
            </w:pPr>
            <w:r>
              <w:rPr>
                <w:szCs w:val="21"/>
              </w:rPr>
              <w:t>6.</w:t>
            </w:r>
            <w:r>
              <w:rPr>
                <w:rFonts w:hint="eastAsia"/>
                <w:szCs w:val="21"/>
              </w:rPr>
              <w:t>节点图应包括各门窗构造节点、中梃及窗框与主体结构连接节点、开启扇节点、五金件配置及布置图、防排水构造节点、防火防雷节点等；</w:t>
            </w:r>
          </w:p>
          <w:p>
            <w:pPr>
              <w:spacing w:line="276" w:lineRule="auto"/>
              <w:rPr>
                <w:szCs w:val="21"/>
              </w:rPr>
            </w:pPr>
            <w:r>
              <w:rPr>
                <w:szCs w:val="21"/>
              </w:rPr>
              <w:t>7.</w:t>
            </w:r>
            <w:r>
              <w:rPr>
                <w:rFonts w:hint="eastAsia"/>
                <w:szCs w:val="21"/>
              </w:rPr>
              <w:t>铝合金外门窗主型材基材壁厚公称尺寸外门不应小于2.2mm，外窗不应小于1.8mm；</w:t>
            </w:r>
          </w:p>
          <w:p>
            <w:pPr>
              <w:spacing w:line="276" w:lineRule="auto"/>
              <w:rPr>
                <w:szCs w:val="21"/>
              </w:rPr>
            </w:pPr>
            <w:r>
              <w:rPr>
                <w:szCs w:val="21"/>
              </w:rPr>
              <w:t>8.</w:t>
            </w:r>
            <w:r>
              <w:rPr>
                <w:rFonts w:hint="eastAsia"/>
                <w:szCs w:val="21"/>
              </w:rPr>
              <w:t>节能门窗工程应按建筑热工要求进行节能的构造及工艺设计。</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w:t>
            </w:r>
            <w:r>
              <w:rPr>
                <w:szCs w:val="21"/>
              </w:rPr>
              <w:t>.</w:t>
            </w:r>
            <w:r>
              <w:rPr>
                <w:rFonts w:hint="eastAsia"/>
                <w:szCs w:val="21"/>
              </w:rPr>
              <w:t>竣工图没有设计说明或说明不符合要求的每项扣1-3分；</w:t>
            </w:r>
          </w:p>
          <w:p>
            <w:pPr>
              <w:snapToGrid w:val="0"/>
              <w:spacing w:line="288" w:lineRule="auto"/>
              <w:rPr>
                <w:szCs w:val="21"/>
              </w:rPr>
            </w:pPr>
            <w:r>
              <w:rPr>
                <w:rFonts w:hint="eastAsia"/>
                <w:szCs w:val="21"/>
              </w:rPr>
              <w:t>2</w:t>
            </w:r>
            <w:r>
              <w:rPr>
                <w:szCs w:val="21"/>
              </w:rPr>
              <w:t>.</w:t>
            </w:r>
            <w:r>
              <w:rPr>
                <w:rFonts w:hint="eastAsia"/>
                <w:szCs w:val="21"/>
              </w:rPr>
              <w:t>未按标准要求采用安全玻璃，未设置防脱落装置，中梃与主体结构连接不可靠，采用全隐框窗设计，砌体墙使用射钉直接固定门窗，超高超重门未设置防脱落装置的每项扣10-15分；</w:t>
            </w:r>
          </w:p>
          <w:p>
            <w:pPr>
              <w:snapToGrid w:val="0"/>
              <w:spacing w:line="288" w:lineRule="auto"/>
              <w:rPr>
                <w:szCs w:val="21"/>
              </w:rPr>
            </w:pPr>
            <w:r>
              <w:rPr>
                <w:rFonts w:hint="eastAsia"/>
                <w:szCs w:val="21"/>
              </w:rPr>
              <w:t>3</w:t>
            </w:r>
            <w:r>
              <w:rPr>
                <w:szCs w:val="21"/>
              </w:rPr>
              <w:t>.</w:t>
            </w:r>
            <w:r>
              <w:rPr>
                <w:rFonts w:hint="eastAsia"/>
                <w:szCs w:val="21"/>
              </w:rPr>
              <w:t>玻璃镶嵌安装尺寸、门窗与主体结构间密封防水不满足要求或不合理的每项扣3-5分；</w:t>
            </w:r>
          </w:p>
          <w:p>
            <w:pPr>
              <w:snapToGrid w:val="0"/>
              <w:spacing w:line="288" w:lineRule="auto"/>
              <w:rPr>
                <w:szCs w:val="21"/>
              </w:rPr>
            </w:pPr>
            <w:r>
              <w:rPr>
                <w:rFonts w:hint="eastAsia"/>
                <w:szCs w:val="21"/>
              </w:rPr>
              <w:t>4</w:t>
            </w:r>
            <w:r>
              <w:rPr>
                <w:szCs w:val="21"/>
              </w:rPr>
              <w:t>.</w:t>
            </w:r>
            <w:r>
              <w:rPr>
                <w:rFonts w:hint="eastAsia"/>
                <w:szCs w:val="21"/>
              </w:rPr>
              <w:t>缺主要门窗大样图、与主体结构连接件布置图的每项扣3分；不齐全的每项扣2分；</w:t>
            </w:r>
          </w:p>
          <w:p>
            <w:pPr>
              <w:snapToGrid w:val="0"/>
              <w:spacing w:line="288" w:lineRule="auto"/>
              <w:rPr>
                <w:szCs w:val="21"/>
              </w:rPr>
            </w:pPr>
            <w:r>
              <w:rPr>
                <w:rFonts w:hint="eastAsia"/>
                <w:szCs w:val="21"/>
              </w:rPr>
              <w:t>5</w:t>
            </w:r>
            <w:r>
              <w:rPr>
                <w:szCs w:val="21"/>
              </w:rPr>
              <w:t>.</w:t>
            </w:r>
            <w:r>
              <w:rPr>
                <w:rFonts w:hint="eastAsia"/>
                <w:szCs w:val="21"/>
              </w:rPr>
              <w:t>其它不符合要求或不合规情况每项扣0.5-2分。</w:t>
            </w:r>
          </w:p>
        </w:tc>
        <w:tc>
          <w:tcPr>
            <w:tcW w:w="1701" w:type="dxa"/>
            <w:tcBorders>
              <w:left w:val="single" w:color="auto" w:sz="4" w:space="0"/>
              <w:right w:val="single" w:color="auto" w:sz="4" w:space="0"/>
            </w:tcBorders>
            <w:noWrap w:val="0"/>
            <w:vAlign w:val="center"/>
          </w:tcPr>
          <w:p>
            <w:pPr>
              <w:snapToGrid w:val="0"/>
              <w:spacing w:line="288" w:lineRule="auto"/>
              <w:rPr>
                <w:szCs w:val="21"/>
              </w:rPr>
            </w:pPr>
            <w:r>
              <w:rPr>
                <w:rFonts w:hint="eastAsia"/>
                <w:szCs w:val="21"/>
              </w:rPr>
              <w:t>竣工图纸应齐全规范，签字签章齐全有效；正确使用标准规范，内容正确、齐全、有效。</w:t>
            </w:r>
          </w:p>
          <w:p>
            <w:pPr>
              <w:snapToGrid w:val="0"/>
              <w:spacing w:line="288" w:lineRule="auto"/>
              <w:rPr>
                <w:szCs w:val="21"/>
              </w:rPr>
            </w:pPr>
            <w:r>
              <w:rPr>
                <w:rFonts w:hint="eastAsia"/>
                <w:szCs w:val="21"/>
              </w:rPr>
              <w:t>竣工图与工程实体符合性。</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结合工程实体查竣工图纸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工程实体</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szCs w:val="21"/>
              </w:rPr>
            </w:pPr>
            <w:r>
              <w:rPr>
                <w:rFonts w:hint="eastAsia"/>
                <w:szCs w:val="21"/>
              </w:rPr>
              <w:t>1</w:t>
            </w:r>
            <w:r>
              <w:rPr>
                <w:szCs w:val="21"/>
              </w:rPr>
              <w:t>.</w:t>
            </w:r>
            <w:r>
              <w:rPr>
                <w:rFonts w:hint="eastAsia"/>
                <w:szCs w:val="21"/>
              </w:rPr>
              <w:t>工程无安全隐患；</w:t>
            </w:r>
          </w:p>
          <w:p>
            <w:pPr>
              <w:snapToGrid w:val="0"/>
              <w:spacing w:line="360" w:lineRule="auto"/>
              <w:rPr>
                <w:szCs w:val="21"/>
              </w:rPr>
            </w:pPr>
            <w:r>
              <w:rPr>
                <w:rFonts w:hint="eastAsia"/>
                <w:szCs w:val="21"/>
              </w:rPr>
              <w:t>2</w:t>
            </w:r>
            <w:r>
              <w:rPr>
                <w:szCs w:val="21"/>
              </w:rPr>
              <w:t>.</w:t>
            </w:r>
            <w:r>
              <w:rPr>
                <w:rFonts w:hint="eastAsia"/>
                <w:szCs w:val="21"/>
              </w:rPr>
              <w:t>整体外观效果应良好；</w:t>
            </w:r>
          </w:p>
          <w:p>
            <w:pPr>
              <w:snapToGrid w:val="0"/>
              <w:spacing w:line="360" w:lineRule="auto"/>
              <w:rPr>
                <w:szCs w:val="21"/>
              </w:rPr>
            </w:pPr>
            <w:r>
              <w:rPr>
                <w:rFonts w:hint="eastAsia"/>
                <w:szCs w:val="21"/>
              </w:rPr>
              <w:t>3</w:t>
            </w:r>
            <w:r>
              <w:rPr>
                <w:szCs w:val="21"/>
              </w:rPr>
              <w:t>.</w:t>
            </w:r>
            <w:r>
              <w:rPr>
                <w:rFonts w:hint="eastAsia"/>
                <w:szCs w:val="21"/>
              </w:rPr>
              <w:t>工程现场实际的构造做法、使用的材料应与图纸一致，并按图施工；</w:t>
            </w:r>
          </w:p>
          <w:p>
            <w:pPr>
              <w:snapToGrid w:val="0"/>
              <w:spacing w:line="360" w:lineRule="auto"/>
              <w:rPr>
                <w:szCs w:val="21"/>
              </w:rPr>
            </w:pPr>
            <w:r>
              <w:rPr>
                <w:rFonts w:hint="eastAsia"/>
                <w:szCs w:val="21"/>
              </w:rPr>
              <w:t>4</w:t>
            </w:r>
            <w:r>
              <w:rPr>
                <w:szCs w:val="21"/>
              </w:rPr>
              <w:t>.</w:t>
            </w:r>
            <w:r>
              <w:rPr>
                <w:rFonts w:hint="eastAsia"/>
                <w:szCs w:val="21"/>
              </w:rPr>
              <w:t>门窗的外观质量应符合要求，门窗外观无污染、无漏水现象；型材拼接接缝位置平整、无毛刺；玻璃压条应扣紧且平整，不得翘曲；胶缝连接密实、表面光滑美观；胶条应整齐均匀、硬度适宜；排水孔设置合理不堵塞；安装工艺孔应封闭；消防窗标识应明确；</w:t>
            </w:r>
          </w:p>
          <w:p>
            <w:pPr>
              <w:snapToGrid w:val="0"/>
              <w:spacing w:line="360" w:lineRule="auto"/>
              <w:rPr>
                <w:szCs w:val="21"/>
              </w:rPr>
            </w:pPr>
            <w:r>
              <w:rPr>
                <w:rFonts w:hint="eastAsia"/>
                <w:szCs w:val="21"/>
              </w:rPr>
              <w:t>5</w:t>
            </w:r>
            <w:r>
              <w:rPr>
                <w:szCs w:val="21"/>
              </w:rPr>
              <w:t>.</w:t>
            </w:r>
            <w:r>
              <w:rPr>
                <w:rFonts w:hint="eastAsia"/>
                <w:szCs w:val="21"/>
              </w:rPr>
              <w:t>开启扇受力构件间连接应采用不锈钢机制螺钉，不得采用铝合金抽芯铆钉；</w:t>
            </w:r>
          </w:p>
          <w:p>
            <w:pPr>
              <w:snapToGrid w:val="0"/>
              <w:spacing w:line="360" w:lineRule="auto"/>
              <w:rPr>
                <w:szCs w:val="21"/>
              </w:rPr>
            </w:pPr>
            <w:r>
              <w:rPr>
                <w:rFonts w:hint="eastAsia"/>
                <w:szCs w:val="21"/>
              </w:rPr>
              <w:t>6</w:t>
            </w:r>
            <w:r>
              <w:rPr>
                <w:szCs w:val="21"/>
              </w:rPr>
              <w:t>.</w:t>
            </w:r>
            <w:r>
              <w:rPr>
                <w:rFonts w:hint="eastAsia"/>
                <w:szCs w:val="21"/>
              </w:rPr>
              <w:t>开启门窗密封性好、启闭灵活无噪声，五金附件配置齐全、无锈蚀，外开窗应安装防脱落装置。</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288" w:lineRule="auto"/>
              <w:ind w:firstLine="0" w:firstLineChars="0"/>
              <w:rPr>
                <w:szCs w:val="21"/>
              </w:rPr>
            </w:pPr>
            <w:r>
              <w:rPr>
                <w:rFonts w:hint="eastAsia"/>
                <w:szCs w:val="21"/>
              </w:rPr>
              <w:t>1</w:t>
            </w:r>
            <w:r>
              <w:rPr>
                <w:szCs w:val="21"/>
              </w:rPr>
              <w:t>.</w:t>
            </w:r>
            <w:r>
              <w:rPr>
                <w:rFonts w:hint="eastAsia"/>
                <w:szCs w:val="21"/>
              </w:rPr>
              <w:t>存在系统性问题的，扣10-20分；</w:t>
            </w:r>
          </w:p>
          <w:p>
            <w:pPr>
              <w:pStyle w:val="4"/>
              <w:snapToGrid w:val="0"/>
              <w:spacing w:line="288" w:lineRule="auto"/>
              <w:ind w:firstLine="0" w:firstLineChars="0"/>
              <w:rPr>
                <w:szCs w:val="21"/>
              </w:rPr>
            </w:pPr>
            <w:r>
              <w:rPr>
                <w:rFonts w:hint="eastAsia"/>
                <w:szCs w:val="21"/>
              </w:rPr>
              <w:t>2</w:t>
            </w:r>
            <w:r>
              <w:rPr>
                <w:szCs w:val="21"/>
              </w:rPr>
              <w:t>.</w:t>
            </w:r>
            <w:r>
              <w:rPr>
                <w:rFonts w:hint="eastAsia"/>
                <w:szCs w:val="21"/>
              </w:rPr>
              <w:t>存在质量问题的，扣1-5分；</w:t>
            </w:r>
          </w:p>
          <w:p>
            <w:pPr>
              <w:pStyle w:val="4"/>
              <w:snapToGrid w:val="0"/>
              <w:spacing w:line="288" w:lineRule="auto"/>
              <w:ind w:firstLine="0" w:firstLineChars="0"/>
              <w:rPr>
                <w:szCs w:val="21"/>
              </w:rPr>
            </w:pPr>
            <w:r>
              <w:rPr>
                <w:rFonts w:hint="eastAsia"/>
                <w:szCs w:val="21"/>
              </w:rPr>
              <w:t>3</w:t>
            </w:r>
            <w:r>
              <w:rPr>
                <w:szCs w:val="21"/>
              </w:rPr>
              <w:t>.</w:t>
            </w:r>
            <w:r>
              <w:rPr>
                <w:rFonts w:hint="eastAsia"/>
                <w:szCs w:val="21"/>
              </w:rPr>
              <w:t>其它不符合要求或不合规情况每项扣0.5-2分；</w:t>
            </w:r>
          </w:p>
        </w:tc>
        <w:tc>
          <w:tcPr>
            <w:tcW w:w="1701" w:type="dxa"/>
            <w:tcBorders>
              <w:left w:val="single" w:color="auto" w:sz="4" w:space="0"/>
              <w:right w:val="single" w:color="auto" w:sz="4" w:space="0"/>
            </w:tcBorders>
            <w:noWrap w:val="0"/>
            <w:vAlign w:val="center"/>
          </w:tcPr>
          <w:p>
            <w:pPr>
              <w:snapToGrid w:val="0"/>
              <w:spacing w:line="288" w:lineRule="auto"/>
              <w:rPr>
                <w:szCs w:val="21"/>
              </w:rPr>
            </w:pPr>
            <w:r>
              <w:rPr>
                <w:rFonts w:hint="eastAsia"/>
                <w:szCs w:val="21"/>
              </w:rPr>
              <w:t>工程实体外观质量及整体效果；</w:t>
            </w:r>
          </w:p>
          <w:p>
            <w:pPr>
              <w:snapToGrid w:val="0"/>
              <w:spacing w:line="288" w:lineRule="auto"/>
              <w:rPr>
                <w:szCs w:val="21"/>
              </w:rPr>
            </w:pPr>
            <w:r>
              <w:rPr>
                <w:rFonts w:hint="eastAsia"/>
                <w:szCs w:val="21"/>
              </w:rPr>
              <w:t>做工精细程度及材料质量；</w:t>
            </w:r>
          </w:p>
          <w:p>
            <w:pPr>
              <w:snapToGrid w:val="0"/>
              <w:spacing w:line="288" w:lineRule="auto"/>
              <w:rPr>
                <w:szCs w:val="21"/>
              </w:rPr>
            </w:pPr>
            <w:r>
              <w:rPr>
                <w:rFonts w:hint="eastAsia"/>
                <w:szCs w:val="21"/>
              </w:rPr>
              <w:t>工程实体与设计图、竣工图、质量管理资料的符合性。</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结合图纸、质量管理资料等查工程实体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Calibri" w:hAnsi="Calibri"/>
                <w:szCs w:val="21"/>
              </w:rPr>
            </w:pPr>
            <w:r>
              <w:rPr>
                <w:rFonts w:hint="eastAsia" w:ascii="Calibri" w:hAnsi="Calibri"/>
                <w:szCs w:val="21"/>
              </w:rPr>
              <w:t>1</w:t>
            </w:r>
            <w:r>
              <w:rPr>
                <w:rFonts w:ascii="Calibri" w:hAnsi="Calibri"/>
                <w:szCs w:val="21"/>
              </w:rPr>
              <w:t>.</w:t>
            </w:r>
            <w:r>
              <w:rPr>
                <w:rFonts w:hint="eastAsia" w:ascii="Calibri" w:hAnsi="Calibri"/>
                <w:szCs w:val="21"/>
              </w:rPr>
              <w:t>采用了新材料、新工艺、新技术、新设备或有利于环保节能等的材料、技术、措施、工艺、工法等；</w:t>
            </w:r>
          </w:p>
          <w:p>
            <w:pPr>
              <w:snapToGrid w:val="0"/>
              <w:spacing w:line="360" w:lineRule="auto"/>
              <w:rPr>
                <w:rFonts w:ascii="Calibri" w:hAnsi="Calibri"/>
                <w:szCs w:val="21"/>
              </w:rPr>
            </w:pPr>
            <w:r>
              <w:rPr>
                <w:rFonts w:hint="eastAsia" w:ascii="Calibri" w:hAnsi="Calibri"/>
                <w:szCs w:val="21"/>
              </w:rPr>
              <w:t>2</w:t>
            </w:r>
            <w:r>
              <w:rPr>
                <w:rFonts w:ascii="Calibri" w:hAnsi="Calibri"/>
                <w:szCs w:val="21"/>
              </w:rPr>
              <w:t>.</w:t>
            </w:r>
            <w:r>
              <w:rPr>
                <w:rFonts w:hint="eastAsia" w:ascii="Calibri" w:hAnsi="Calibri"/>
                <w:szCs w:val="21"/>
              </w:rPr>
              <w:t>获得了与申报工程相关的发明专利、实用新型专利、省级以上工法等；</w:t>
            </w:r>
          </w:p>
          <w:p>
            <w:pPr>
              <w:snapToGrid w:val="0"/>
              <w:spacing w:line="360" w:lineRule="auto"/>
              <w:rPr>
                <w:rFonts w:ascii="Calibri" w:hAnsi="Calibri"/>
                <w:szCs w:val="21"/>
              </w:rPr>
            </w:pPr>
            <w:r>
              <w:rPr>
                <w:rFonts w:hint="eastAsia" w:ascii="Calibri" w:hAnsi="Calibri"/>
                <w:szCs w:val="21"/>
              </w:rPr>
              <w:t>3</w:t>
            </w:r>
            <w:r>
              <w:rPr>
                <w:rFonts w:ascii="Calibri" w:hAnsi="Calibri"/>
                <w:szCs w:val="21"/>
              </w:rPr>
              <w:t>.</w:t>
            </w:r>
            <w:r>
              <w:rPr>
                <w:rFonts w:hint="eastAsia" w:ascii="Calibri" w:hAnsi="Calibri"/>
                <w:szCs w:val="21"/>
              </w:rPr>
              <w:t>本工程已获得建筑装饰行业科学技术奖。</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缺少其中内容，扣0.5-3分。</w:t>
            </w:r>
          </w:p>
        </w:tc>
        <w:tc>
          <w:tcPr>
            <w:tcW w:w="170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查：工程实体、图纸、质量管理与技术资料等。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szCs w:val="21"/>
              </w:rPr>
            </w:pPr>
            <w:r>
              <w:rPr>
                <w:rFonts w:hint="eastAsia"/>
                <w:szCs w:val="21"/>
              </w:rPr>
              <w:t>1</w:t>
            </w:r>
            <w:r>
              <w:rPr>
                <w:szCs w:val="21"/>
              </w:rPr>
              <w:t>.</w:t>
            </w:r>
            <w:r>
              <w:rPr>
                <w:rFonts w:hint="eastAsia"/>
                <w:szCs w:val="21"/>
              </w:rPr>
              <w:t>组织工作准备充分，人员到位（项目经理或执行经理、技术负责人和资料员等相关人员应到场），汇报PPT内容重点突出、内容齐全、清晰简洁。</w:t>
            </w:r>
          </w:p>
          <w:p>
            <w:pPr>
              <w:snapToGrid w:val="0"/>
              <w:spacing w:line="360" w:lineRule="auto"/>
              <w:rPr>
                <w:szCs w:val="21"/>
              </w:rPr>
            </w:pPr>
            <w:r>
              <w:rPr>
                <w:rFonts w:hint="eastAsia"/>
                <w:szCs w:val="21"/>
              </w:rPr>
              <w:t>2</w:t>
            </w:r>
            <w:r>
              <w:rPr>
                <w:szCs w:val="21"/>
              </w:rPr>
              <w:t>.</w:t>
            </w:r>
            <w:r>
              <w:rPr>
                <w:rFonts w:hint="eastAsia"/>
                <w:szCs w:val="21"/>
              </w:rPr>
              <w:t>资料准备充分有序，易于查找；</w:t>
            </w:r>
          </w:p>
          <w:p>
            <w:pPr>
              <w:snapToGrid w:val="0"/>
              <w:spacing w:line="360" w:lineRule="auto"/>
              <w:rPr>
                <w:szCs w:val="21"/>
              </w:rPr>
            </w:pPr>
            <w:r>
              <w:rPr>
                <w:rFonts w:hint="eastAsia"/>
                <w:szCs w:val="21"/>
              </w:rPr>
              <w:t>3</w:t>
            </w:r>
            <w:r>
              <w:rPr>
                <w:szCs w:val="21"/>
              </w:rPr>
              <w:t>.</w:t>
            </w:r>
            <w:r>
              <w:rPr>
                <w:rFonts w:hint="eastAsia"/>
                <w:szCs w:val="21"/>
              </w:rPr>
              <w:t>用户沟通意见；</w:t>
            </w:r>
          </w:p>
          <w:p>
            <w:pPr>
              <w:snapToGrid w:val="0"/>
              <w:spacing w:line="360" w:lineRule="auto"/>
              <w:rPr>
                <w:szCs w:val="21"/>
              </w:rPr>
            </w:pPr>
            <w:r>
              <w:rPr>
                <w:rFonts w:hint="eastAsia"/>
                <w:szCs w:val="21"/>
              </w:rPr>
              <w:t>4</w:t>
            </w:r>
            <w:r>
              <w:rPr>
                <w:szCs w:val="21"/>
              </w:rPr>
              <w:t>.</w:t>
            </w:r>
            <w:r>
              <w:rPr>
                <w:rFonts w:hint="eastAsia"/>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szCs w:val="21"/>
              </w:rPr>
            </w:pPr>
            <w:r>
              <w:rPr>
                <w:rFonts w:hint="eastAsia"/>
                <w:szCs w:val="21"/>
              </w:rPr>
              <w:t>1</w:t>
            </w:r>
            <w:r>
              <w:rPr>
                <w:szCs w:val="21"/>
              </w:rPr>
              <w:t>.</w:t>
            </w:r>
            <w:r>
              <w:rPr>
                <w:rFonts w:hint="eastAsia"/>
                <w:szCs w:val="21"/>
              </w:rPr>
              <w:t>工程施工主要负责人均未到场扣1-2分；</w:t>
            </w:r>
          </w:p>
          <w:p>
            <w:pPr>
              <w:snapToGrid w:val="0"/>
              <w:spacing w:line="360" w:lineRule="auto"/>
              <w:rPr>
                <w:szCs w:val="21"/>
              </w:rPr>
            </w:pPr>
            <w:r>
              <w:rPr>
                <w:szCs w:val="21"/>
              </w:rPr>
              <w:t>2.</w:t>
            </w:r>
            <w:r>
              <w:rPr>
                <w:rFonts w:hint="eastAsia"/>
                <w:szCs w:val="21"/>
              </w:rPr>
              <w:t>PPT及</w:t>
            </w:r>
            <w:r>
              <w:rPr>
                <w:szCs w:val="21"/>
              </w:rPr>
              <w:t>资料准备无序不齐全扣</w:t>
            </w:r>
            <w:r>
              <w:rPr>
                <w:rFonts w:hint="eastAsia"/>
                <w:szCs w:val="21"/>
              </w:rPr>
              <w:t>1-5分</w:t>
            </w:r>
            <w:r>
              <w:rPr>
                <w:szCs w:val="21"/>
              </w:rPr>
              <w:t>；</w:t>
            </w:r>
          </w:p>
          <w:p>
            <w:pPr>
              <w:snapToGrid w:val="0"/>
              <w:spacing w:line="360" w:lineRule="auto"/>
              <w:rPr>
                <w:szCs w:val="21"/>
              </w:rPr>
            </w:pPr>
            <w:r>
              <w:rPr>
                <w:szCs w:val="21"/>
              </w:rPr>
              <w:t>3.</w:t>
            </w:r>
            <w:r>
              <w:rPr>
                <w:rFonts w:hint="eastAsia"/>
                <w:szCs w:val="21"/>
              </w:rPr>
              <w:t>总体印象不佳扣1-5分；</w:t>
            </w:r>
          </w:p>
          <w:p>
            <w:pPr>
              <w:snapToGrid w:val="0"/>
              <w:spacing w:line="360" w:lineRule="auto"/>
              <w:rPr>
                <w:szCs w:val="21"/>
              </w:rPr>
            </w:pPr>
            <w:r>
              <w:rPr>
                <w:rFonts w:hint="eastAsia"/>
                <w:szCs w:val="21"/>
              </w:rPr>
              <w:t>4</w:t>
            </w:r>
            <w:r>
              <w:rPr>
                <w:szCs w:val="21"/>
              </w:rPr>
              <w:t>.</w:t>
            </w:r>
            <w:r>
              <w:rPr>
                <w:rFonts w:hint="eastAsia"/>
                <w:szCs w:val="21"/>
              </w:rPr>
              <w:t>其它不规范、不到位情况每项扣0.5-1分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人员、资料、过程安排准备不足；未做PPT汇报资料等</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查：</w:t>
            </w:r>
          </w:p>
          <w:p>
            <w:pPr>
              <w:snapToGrid w:val="0"/>
              <w:spacing w:line="288" w:lineRule="auto"/>
              <w:rPr>
                <w:szCs w:val="21"/>
              </w:rPr>
            </w:pPr>
            <w:r>
              <w:rPr>
                <w:rFonts w:hint="eastAsia"/>
                <w:szCs w:val="21"/>
              </w:rPr>
              <w:t>1</w:t>
            </w:r>
            <w:r>
              <w:rPr>
                <w:szCs w:val="21"/>
              </w:rPr>
              <w:t>.</w:t>
            </w:r>
            <w:r>
              <w:rPr>
                <w:rFonts w:hint="eastAsia"/>
                <w:szCs w:val="21"/>
              </w:rPr>
              <w:t>组织准备情况；</w:t>
            </w:r>
          </w:p>
          <w:p>
            <w:pPr>
              <w:snapToGrid w:val="0"/>
              <w:spacing w:line="288" w:lineRule="auto"/>
              <w:rPr>
                <w:szCs w:val="21"/>
              </w:rPr>
            </w:pPr>
            <w:r>
              <w:rPr>
                <w:szCs w:val="21"/>
              </w:rPr>
              <w:t>2.</w:t>
            </w:r>
            <w:r>
              <w:rPr>
                <w:rFonts w:hint="eastAsia"/>
                <w:szCs w:val="21"/>
              </w:rPr>
              <w:t>PPT（项目概况、施工范围、重点难点亮点、施工过程中情况图片等，汇报时间10分钟内）；</w:t>
            </w:r>
          </w:p>
          <w:p>
            <w:pPr>
              <w:snapToGrid w:val="0"/>
              <w:spacing w:line="288" w:lineRule="auto"/>
              <w:rPr>
                <w:szCs w:val="21"/>
              </w:rPr>
            </w:pPr>
            <w:r>
              <w:rPr>
                <w:szCs w:val="21"/>
              </w:rPr>
              <w:t>3.</w:t>
            </w:r>
            <w:r>
              <w:rPr>
                <w:rFonts w:hint="eastAsia"/>
                <w:szCs w:val="21"/>
              </w:rPr>
              <w:t>用户意见。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7404E"/>
    <w:multiLevelType w:val="multilevel"/>
    <w:tmpl w:val="3E17404E"/>
    <w:lvl w:ilvl="0" w:tentative="0">
      <w:start w:val="1"/>
      <w:numFmt w:val="decimal"/>
      <w:suff w:val="space"/>
      <w:lvlText w:val="%1."/>
      <w:lvlJc w:val="left"/>
      <w:pPr>
        <w:ind w:left="477" w:hanging="47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857811"/>
    <w:multiLevelType w:val="singleLevel"/>
    <w:tmpl w:val="6A85781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32E1335A"/>
    <w:rsid w:val="32E1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2024-03-12T10:57:00Z</dcterms:created>
  <dc:creator>李艳</dc:creator>
  <cp:lastModifiedBy>李艳</cp:lastModifiedBy>
  <dcterms:modified xsi:type="dcterms:W3CDTF">2024-03-12T10:58:02Z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A540CAFB51454656B8C34499C74067E5_11</vt:lpwstr>
  </property>
</Properties>
</file>