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outlineLvl w:val="2"/>
        <w:rPr>
          <w:rFonts w:hint="eastAsia" w:ascii="黑体" w:hAnsi="黑体" w:eastAsia="黑体" w:cs="黑体"/>
          <w:spacing w:val="-4"/>
          <w:sz w:val="32"/>
          <w:szCs w:val="32"/>
        </w:rPr>
      </w:pPr>
      <w:bookmarkStart w:id="0" w:name="_Toc23693"/>
      <w:r>
        <w:rPr>
          <w:rFonts w:hint="eastAsia" w:ascii="黑体" w:hAnsi="黑体" w:eastAsia="黑体" w:cs="黑体"/>
          <w:spacing w:val="-4"/>
          <w:sz w:val="32"/>
          <w:szCs w:val="32"/>
        </w:rPr>
        <w:t>附件</w:t>
      </w:r>
      <w:r>
        <w:rPr>
          <w:rFonts w:ascii="黑体" w:hAnsi="黑体" w:eastAsia="黑体" w:cs="黑体"/>
          <w:spacing w:val="-4"/>
          <w:sz w:val="32"/>
          <w:szCs w:val="32"/>
        </w:rPr>
        <w:t>5</w:t>
      </w:r>
      <w:r>
        <w:rPr>
          <w:rFonts w:hint="eastAsia" w:ascii="黑体" w:hAnsi="黑体" w:eastAsia="黑体" w:cs="黑体"/>
          <w:spacing w:val="-4"/>
          <w:sz w:val="32"/>
          <w:szCs w:val="32"/>
        </w:rPr>
        <w:t>-</w:t>
      </w:r>
      <w:r>
        <w:rPr>
          <w:rFonts w:ascii="黑体" w:hAnsi="黑体" w:eastAsia="黑体" w:cs="黑体"/>
          <w:spacing w:val="-4"/>
          <w:sz w:val="32"/>
          <w:szCs w:val="32"/>
        </w:rPr>
        <w:t>2</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中国建筑工程装饰奖工程复查实施细则</w:t>
      </w:r>
    </w:p>
    <w:p>
      <w:pPr>
        <w:snapToGrid w:val="0"/>
        <w:spacing w:line="360" w:lineRule="auto"/>
        <w:jc w:val="center"/>
        <w:rPr>
          <w:rFonts w:ascii="宋体" w:hAnsi="宋体"/>
          <w:spacing w:val="-4"/>
          <w:sz w:val="30"/>
          <w:szCs w:val="30"/>
        </w:rPr>
      </w:pPr>
      <w:r>
        <w:rPr>
          <w:rFonts w:hint="eastAsia" w:ascii="宋体" w:hAnsi="宋体"/>
          <w:spacing w:val="-4"/>
          <w:sz w:val="30"/>
          <w:szCs w:val="30"/>
        </w:rPr>
        <w:t>公共建筑装饰类（景观工程）</w:t>
      </w:r>
    </w:p>
    <w:p>
      <w:pPr>
        <w:numPr>
          <w:ilvl w:val="0"/>
          <w:numId w:val="1"/>
        </w:numPr>
        <w:adjustRightInd w:val="0"/>
        <w:snapToGrid w:val="0"/>
        <w:spacing w:line="360" w:lineRule="auto"/>
        <w:ind w:firstLine="480" w:firstLineChars="200"/>
        <w:outlineLvl w:val="1"/>
        <w:rPr>
          <w:rFonts w:hint="eastAsia" w:eastAsia="黑体"/>
          <w:bCs/>
          <w:sz w:val="24"/>
        </w:rPr>
      </w:pPr>
      <w:bookmarkStart w:id="1" w:name="_Toc30052"/>
      <w:r>
        <w:rPr>
          <w:rFonts w:hint="eastAsia" w:eastAsia="黑体"/>
          <w:bCs/>
          <w:sz w:val="24"/>
        </w:rPr>
        <w:t>评分标准及要求：</w:t>
      </w:r>
      <w:bookmarkEnd w:id="1"/>
    </w:p>
    <w:p>
      <w:pPr>
        <w:adjustRightInd w:val="0"/>
        <w:snapToGrid w:val="0"/>
        <w:spacing w:line="360" w:lineRule="auto"/>
        <w:ind w:firstLine="480" w:firstLineChars="200"/>
        <w:rPr>
          <w:sz w:val="24"/>
        </w:rPr>
      </w:pPr>
      <w:r>
        <w:rPr>
          <w:rFonts w:hint="eastAsia"/>
          <w:sz w:val="24"/>
        </w:rPr>
        <w:t>景观工程（不含并列承建）：工程合同金额或结算金额不低于1000万元人民币且面积不低于10000㎡（不含纯绿化种植项目）。</w:t>
      </w:r>
    </w:p>
    <w:p>
      <w:pPr>
        <w:adjustRightInd w:val="0"/>
        <w:snapToGrid w:val="0"/>
        <w:spacing w:line="360" w:lineRule="auto"/>
        <w:ind w:firstLine="480" w:firstLineChars="200"/>
        <w:rPr>
          <w:sz w:val="24"/>
        </w:rPr>
      </w:pPr>
      <w:r>
        <w:rPr>
          <w:rFonts w:hint="eastAsia"/>
          <w:sz w:val="24"/>
        </w:rPr>
        <w:t>鉴于复查项目的工程性质、类别、规模、使用的材料、采用的工艺等各方面差别较大，故复查工程的评分采用扣分法，本细则重点列出了在资料、硬质工程、绿化工程、安装工程及其它、新技术、总体印象等几个方面的常见问题、质量通病和涉及安全与使用的问题，结合复查中查出的问题进行评分。项目复查总分为100分，建议推荐得分在80分以上的项目，详细分项和评分标准见《工程复查实施细则——公共建筑装饰类（景观工程）》。</w:t>
      </w:r>
    </w:p>
    <w:p>
      <w:pPr>
        <w:adjustRightInd w:val="0"/>
        <w:snapToGrid w:val="0"/>
        <w:spacing w:line="360" w:lineRule="auto"/>
        <w:ind w:firstLine="480" w:firstLineChars="200"/>
        <w:rPr>
          <w:sz w:val="24"/>
        </w:rPr>
      </w:pPr>
      <w:r>
        <w:rPr>
          <w:rFonts w:hint="eastAsia"/>
          <w:sz w:val="24"/>
        </w:rPr>
        <w:t>《工程复查实施细则——公共建筑装饰类（景观工程）》中所列均为工程复查的必查和主查内容，各复查小组可根据项目实际情况做必要的补充和调整，但必查内容不可取消。复查评分严格按照各项要求及分值进行复查评分，并将各大项评分记录在申报表工程复查表中。</w:t>
      </w:r>
    </w:p>
    <w:p>
      <w:pPr>
        <w:adjustRightInd w:val="0"/>
        <w:snapToGrid w:val="0"/>
        <w:spacing w:line="360" w:lineRule="auto"/>
        <w:ind w:firstLine="480" w:firstLineChars="200"/>
        <w:rPr>
          <w:sz w:val="24"/>
        </w:rPr>
      </w:pPr>
      <w:r>
        <w:rPr>
          <w:rFonts w:hint="eastAsia"/>
          <w:sz w:val="24"/>
        </w:rPr>
        <w:t>申报中国建筑工程装饰奖的单位需重视对工程安全隐患的排查及相关必要文件的准备，要求企业申报前对涉及安全、结构、隐蔽资料等方面的情况进行自查，使其符合相应的国家强制性规范和标准以及装饰奖复查的要求。</w:t>
      </w:r>
    </w:p>
    <w:p>
      <w:pPr>
        <w:adjustRightInd w:val="0"/>
        <w:snapToGrid w:val="0"/>
        <w:spacing w:line="360" w:lineRule="auto"/>
        <w:ind w:firstLine="480" w:firstLineChars="200"/>
        <w:outlineLvl w:val="1"/>
        <w:rPr>
          <w:rFonts w:ascii="黑体" w:hAnsi="黑体" w:eastAsia="黑体"/>
          <w:sz w:val="24"/>
        </w:rPr>
      </w:pPr>
      <w:bookmarkStart w:id="2" w:name="_Toc13071"/>
      <w:r>
        <w:rPr>
          <w:rFonts w:hint="eastAsia" w:ascii="黑体" w:hAnsi="黑体" w:eastAsia="黑体"/>
          <w:sz w:val="24"/>
        </w:rPr>
        <w:t>二、申报项目的主要范围和复查重点</w:t>
      </w:r>
      <w:bookmarkEnd w:id="2"/>
    </w:p>
    <w:p>
      <w:pPr>
        <w:adjustRightInd w:val="0"/>
        <w:snapToGrid w:val="0"/>
        <w:spacing w:line="360" w:lineRule="auto"/>
        <w:ind w:firstLine="480" w:firstLineChars="200"/>
        <w:rPr>
          <w:sz w:val="24"/>
        </w:rPr>
      </w:pPr>
      <w:r>
        <w:rPr>
          <w:rFonts w:hint="eastAsia"/>
          <w:sz w:val="24"/>
        </w:rPr>
        <w:t>景观装饰工程主要</w:t>
      </w:r>
      <w:r>
        <w:rPr>
          <w:rFonts w:hint="eastAsia"/>
          <w:bCs/>
          <w:sz w:val="24"/>
        </w:rPr>
        <w:t>包括城市公共建筑景观（城市广场、商业街、办公环境等）、居住区景观、庭院景观、城市公园景观、文旅及专项景观等，不含纯绿化种植项目</w:t>
      </w:r>
      <w:r>
        <w:rPr>
          <w:rFonts w:hint="eastAsia"/>
          <w:sz w:val="24"/>
        </w:rPr>
        <w:t>。工程应有相关部门施工许可文件、施工过程文件、竣工验收或备案文件等。景观装饰工程的复查重点应为景观设计创意、配套建筑装饰、综合绿化、雕塑、道路、水系、灯光、音响、排水、休闲、交流组织、环保、节能和运用新生物技术等方面，同时要满足紧急情况下的泄爆与疏散等要求。</w:t>
      </w:r>
    </w:p>
    <w:p>
      <w:pPr>
        <w:adjustRightInd w:val="0"/>
        <w:snapToGrid w:val="0"/>
        <w:spacing w:line="360" w:lineRule="auto"/>
        <w:ind w:firstLine="480" w:firstLineChars="200"/>
        <w:outlineLvl w:val="1"/>
        <w:rPr>
          <w:rFonts w:eastAsia="黑体"/>
          <w:bCs/>
          <w:sz w:val="24"/>
        </w:rPr>
      </w:pPr>
      <w:bookmarkStart w:id="3" w:name="_Toc13931"/>
      <w:r>
        <w:rPr>
          <w:rFonts w:hint="eastAsia" w:eastAsia="黑体"/>
          <w:bCs/>
          <w:sz w:val="24"/>
        </w:rPr>
        <w:t>三、主要执行规范和标准：</w:t>
      </w:r>
      <w:bookmarkEnd w:id="3"/>
    </w:p>
    <w:p>
      <w:pPr>
        <w:adjustRightInd w:val="0"/>
        <w:snapToGrid w:val="0"/>
        <w:spacing w:line="360" w:lineRule="auto"/>
        <w:ind w:firstLine="480" w:firstLineChars="200"/>
        <w:rPr>
          <w:sz w:val="24"/>
        </w:rPr>
      </w:pPr>
      <w:r>
        <w:rPr>
          <w:rFonts w:hint="eastAsia"/>
          <w:sz w:val="24"/>
        </w:rPr>
        <w:t>1</w:t>
      </w:r>
      <w:r>
        <w:rPr>
          <w:sz w:val="24"/>
        </w:rPr>
        <w:t>.</w:t>
      </w:r>
      <w:r>
        <w:rPr>
          <w:rFonts w:hint="eastAsia"/>
          <w:sz w:val="24"/>
        </w:rPr>
        <w:t>《混凝土外加剂》GB8076-2008</w:t>
      </w:r>
    </w:p>
    <w:p>
      <w:pPr>
        <w:adjustRightInd w:val="0"/>
        <w:snapToGrid w:val="0"/>
        <w:spacing w:line="360" w:lineRule="auto"/>
        <w:ind w:firstLine="480" w:firstLineChars="200"/>
        <w:rPr>
          <w:sz w:val="24"/>
        </w:rPr>
      </w:pPr>
      <w:r>
        <w:rPr>
          <w:rFonts w:hint="eastAsia"/>
          <w:sz w:val="24"/>
        </w:rPr>
        <w:t>2</w:t>
      </w:r>
      <w:r>
        <w:rPr>
          <w:sz w:val="24"/>
        </w:rPr>
        <w:t>.</w:t>
      </w:r>
      <w:r>
        <w:rPr>
          <w:rFonts w:hint="eastAsia"/>
          <w:sz w:val="24"/>
        </w:rPr>
        <w:t>土工合成材料聚乙烯土工膜》GB/T17643-2011</w:t>
      </w:r>
    </w:p>
    <w:p>
      <w:pPr>
        <w:adjustRightInd w:val="0"/>
        <w:snapToGrid w:val="0"/>
        <w:spacing w:line="360" w:lineRule="auto"/>
        <w:ind w:firstLine="480" w:firstLineChars="200"/>
        <w:rPr>
          <w:sz w:val="24"/>
        </w:rPr>
      </w:pPr>
      <w:r>
        <w:rPr>
          <w:rFonts w:hint="eastAsia"/>
          <w:sz w:val="24"/>
        </w:rPr>
        <w:t>3</w:t>
      </w:r>
      <w:r>
        <w:rPr>
          <w:sz w:val="24"/>
        </w:rPr>
        <w:t>.</w:t>
      </w:r>
      <w:r>
        <w:rPr>
          <w:rFonts w:hint="eastAsia"/>
          <w:sz w:val="24"/>
        </w:rPr>
        <w:t>《喷灌工程技术规范》GB/T50085-2007</w:t>
      </w:r>
    </w:p>
    <w:p>
      <w:pPr>
        <w:adjustRightInd w:val="0"/>
        <w:snapToGrid w:val="0"/>
        <w:spacing w:line="360" w:lineRule="auto"/>
        <w:ind w:firstLine="480" w:firstLineChars="200"/>
        <w:rPr>
          <w:sz w:val="24"/>
        </w:rPr>
      </w:pPr>
      <w:r>
        <w:rPr>
          <w:rFonts w:hint="eastAsia"/>
          <w:sz w:val="24"/>
        </w:rPr>
        <w:t>4</w:t>
      </w:r>
      <w:r>
        <w:rPr>
          <w:sz w:val="24"/>
        </w:rPr>
        <w:t>.</w:t>
      </w:r>
      <w:r>
        <w:rPr>
          <w:rFonts w:hint="eastAsia"/>
          <w:sz w:val="24"/>
        </w:rPr>
        <w:t>《混凝土强度检验评定标准》GB/T50107-2019</w:t>
      </w:r>
    </w:p>
    <w:p>
      <w:pPr>
        <w:adjustRightInd w:val="0"/>
        <w:snapToGrid w:val="0"/>
        <w:spacing w:line="360" w:lineRule="auto"/>
        <w:ind w:firstLine="480" w:firstLineChars="200"/>
        <w:rPr>
          <w:sz w:val="24"/>
        </w:rPr>
      </w:pPr>
      <w:r>
        <w:rPr>
          <w:rFonts w:hint="eastAsia"/>
          <w:sz w:val="24"/>
        </w:rPr>
        <w:t>5.《混凝土外加剂应用技术规范》GB50119-2013</w:t>
      </w:r>
    </w:p>
    <w:p>
      <w:pPr>
        <w:adjustRightInd w:val="0"/>
        <w:snapToGrid w:val="0"/>
        <w:spacing w:line="360" w:lineRule="auto"/>
        <w:ind w:firstLine="480" w:firstLineChars="200"/>
        <w:rPr>
          <w:sz w:val="24"/>
        </w:rPr>
      </w:pPr>
      <w:r>
        <w:rPr>
          <w:rFonts w:hint="eastAsia"/>
          <w:sz w:val="24"/>
        </w:rPr>
        <w:t>6</w:t>
      </w:r>
      <w:r>
        <w:rPr>
          <w:sz w:val="24"/>
        </w:rPr>
        <w:t>.</w:t>
      </w:r>
      <w:r>
        <w:rPr>
          <w:rFonts w:hint="eastAsia"/>
          <w:sz w:val="24"/>
        </w:rPr>
        <w:t>《给水排水构筑物工程施工及验收规范》GB50141-2008</w:t>
      </w:r>
    </w:p>
    <w:p>
      <w:pPr>
        <w:adjustRightInd w:val="0"/>
        <w:snapToGrid w:val="0"/>
        <w:spacing w:line="360" w:lineRule="auto"/>
        <w:ind w:firstLine="480" w:firstLineChars="200"/>
        <w:outlineLvl w:val="2"/>
        <w:rPr>
          <w:sz w:val="24"/>
        </w:rPr>
      </w:pPr>
      <w:bookmarkStart w:id="4" w:name="_Toc14444"/>
      <w:r>
        <w:rPr>
          <w:rFonts w:hint="eastAsia"/>
          <w:sz w:val="24"/>
        </w:rPr>
        <w:t>7.《屋面工程质量验收规范》GB50207-2012</w:t>
      </w:r>
      <w:bookmarkEnd w:id="4"/>
    </w:p>
    <w:p>
      <w:pPr>
        <w:adjustRightInd w:val="0"/>
        <w:snapToGrid w:val="0"/>
        <w:spacing w:line="360" w:lineRule="auto"/>
        <w:ind w:firstLine="480" w:firstLineChars="200"/>
        <w:rPr>
          <w:sz w:val="24"/>
        </w:rPr>
      </w:pPr>
      <w:r>
        <w:rPr>
          <w:rFonts w:hint="eastAsia"/>
          <w:sz w:val="24"/>
        </w:rPr>
        <w:t>8.《建筑给水排水及采暖工程施工质量验收规范》GB50242-2002</w:t>
      </w:r>
    </w:p>
    <w:p>
      <w:pPr>
        <w:adjustRightInd w:val="0"/>
        <w:snapToGrid w:val="0"/>
        <w:spacing w:line="360" w:lineRule="auto"/>
        <w:ind w:firstLine="480" w:firstLineChars="200"/>
        <w:rPr>
          <w:sz w:val="24"/>
        </w:rPr>
      </w:pPr>
      <w:r>
        <w:rPr>
          <w:rFonts w:hint="eastAsia"/>
          <w:sz w:val="24"/>
        </w:rPr>
        <w:t>9.《给水排水管道工程施工及验收规范》GB50268-2008</w:t>
      </w:r>
    </w:p>
    <w:p>
      <w:pPr>
        <w:adjustRightInd w:val="0"/>
        <w:snapToGrid w:val="0"/>
        <w:spacing w:line="360" w:lineRule="auto"/>
        <w:ind w:firstLine="480" w:firstLineChars="200"/>
        <w:rPr>
          <w:sz w:val="24"/>
        </w:rPr>
      </w:pPr>
      <w:r>
        <w:rPr>
          <w:rFonts w:hint="eastAsia"/>
          <w:sz w:val="24"/>
        </w:rPr>
        <w:t>1</w:t>
      </w:r>
      <w:r>
        <w:rPr>
          <w:sz w:val="24"/>
        </w:rPr>
        <w:t>0.</w:t>
      </w:r>
      <w:r>
        <w:rPr>
          <w:rFonts w:hint="eastAsia"/>
          <w:sz w:val="24"/>
        </w:rPr>
        <w:t>《屋面工程技术规范》GB50345-2012</w:t>
      </w:r>
    </w:p>
    <w:p>
      <w:pPr>
        <w:adjustRightInd w:val="0"/>
        <w:snapToGrid w:val="0"/>
        <w:spacing w:line="360" w:lineRule="auto"/>
        <w:ind w:firstLine="480" w:firstLineChars="200"/>
        <w:rPr>
          <w:sz w:val="24"/>
        </w:rPr>
      </w:pPr>
      <w:r>
        <w:rPr>
          <w:rFonts w:hint="eastAsia"/>
          <w:sz w:val="24"/>
        </w:rPr>
        <w:t>11</w:t>
      </w:r>
      <w:r>
        <w:rPr>
          <w:sz w:val="24"/>
        </w:rPr>
        <w:t>.</w:t>
      </w:r>
      <w:r>
        <w:rPr>
          <w:rFonts w:hint="eastAsia"/>
          <w:sz w:val="24"/>
        </w:rPr>
        <w:t>《微灌工程技术标准》GB/T50485-2020</w:t>
      </w:r>
    </w:p>
    <w:p>
      <w:pPr>
        <w:adjustRightInd w:val="0"/>
        <w:snapToGrid w:val="0"/>
        <w:spacing w:line="360" w:lineRule="auto"/>
        <w:ind w:firstLine="480" w:firstLineChars="200"/>
        <w:rPr>
          <w:sz w:val="24"/>
        </w:rPr>
      </w:pPr>
      <w:r>
        <w:rPr>
          <w:rFonts w:hint="eastAsia"/>
          <w:sz w:val="24"/>
        </w:rPr>
        <w:t>12.《公园设计规范》GB51192-2016</w:t>
      </w:r>
    </w:p>
    <w:p>
      <w:pPr>
        <w:adjustRightInd w:val="0"/>
        <w:snapToGrid w:val="0"/>
        <w:spacing w:line="360" w:lineRule="auto"/>
        <w:ind w:firstLine="480" w:firstLineChars="200"/>
        <w:rPr>
          <w:sz w:val="24"/>
        </w:rPr>
      </w:pPr>
      <w:r>
        <w:rPr>
          <w:rFonts w:hint="eastAsia"/>
          <w:sz w:val="24"/>
        </w:rPr>
        <w:t>13.《城镇道路工程施工与质量验收规范》CJJ1-2008</w:t>
      </w:r>
    </w:p>
    <w:p>
      <w:pPr>
        <w:adjustRightInd w:val="0"/>
        <w:snapToGrid w:val="0"/>
        <w:spacing w:line="360" w:lineRule="auto"/>
        <w:ind w:firstLine="480" w:firstLineChars="200"/>
        <w:rPr>
          <w:sz w:val="24"/>
        </w:rPr>
      </w:pPr>
      <w:r>
        <w:rPr>
          <w:rFonts w:hint="eastAsia"/>
          <w:sz w:val="24"/>
        </w:rPr>
        <w:t>1</w:t>
      </w:r>
      <w:r>
        <w:rPr>
          <w:sz w:val="24"/>
        </w:rPr>
        <w:t>4.</w:t>
      </w:r>
      <w:r>
        <w:rPr>
          <w:rFonts w:hint="eastAsia"/>
          <w:sz w:val="24"/>
        </w:rPr>
        <w:t>《城镇道路养护技术规范》CJJ36-2016</w:t>
      </w:r>
    </w:p>
    <w:p>
      <w:pPr>
        <w:adjustRightInd w:val="0"/>
        <w:snapToGrid w:val="0"/>
        <w:spacing w:line="360" w:lineRule="auto"/>
        <w:ind w:firstLine="480" w:firstLineChars="200"/>
        <w:rPr>
          <w:sz w:val="24"/>
        </w:rPr>
      </w:pPr>
      <w:r>
        <w:rPr>
          <w:rFonts w:hint="eastAsia"/>
          <w:sz w:val="24"/>
        </w:rPr>
        <w:t>15.《园林绿化工程施工及验收规范》CJJ82-2012</w:t>
      </w:r>
    </w:p>
    <w:p>
      <w:pPr>
        <w:adjustRightInd w:val="0"/>
        <w:snapToGrid w:val="0"/>
        <w:spacing w:line="360" w:lineRule="auto"/>
        <w:ind w:firstLine="480" w:firstLineChars="200"/>
        <w:rPr>
          <w:sz w:val="24"/>
        </w:rPr>
      </w:pPr>
      <w:r>
        <w:rPr>
          <w:rFonts w:hint="eastAsia"/>
          <w:sz w:val="24"/>
        </w:rPr>
        <w:t>16</w:t>
      </w:r>
      <w:r>
        <w:rPr>
          <w:sz w:val="24"/>
        </w:rPr>
        <w:t>.</w:t>
      </w:r>
      <w:r>
        <w:rPr>
          <w:rFonts w:hint="eastAsia"/>
          <w:sz w:val="24"/>
        </w:rPr>
        <w:t>《透水水泥混凝土路面技术规程》CJJ/T135-2009</w:t>
      </w:r>
    </w:p>
    <w:p>
      <w:pPr>
        <w:adjustRightInd w:val="0"/>
        <w:snapToGrid w:val="0"/>
        <w:spacing w:line="360" w:lineRule="auto"/>
        <w:ind w:firstLine="480" w:firstLineChars="200"/>
        <w:outlineLvl w:val="2"/>
        <w:rPr>
          <w:sz w:val="24"/>
        </w:rPr>
      </w:pPr>
      <w:bookmarkStart w:id="5" w:name="_Toc2717"/>
      <w:r>
        <w:rPr>
          <w:rFonts w:hint="eastAsia"/>
          <w:sz w:val="24"/>
        </w:rPr>
        <w:t>17</w:t>
      </w:r>
      <w:r>
        <w:rPr>
          <w:sz w:val="24"/>
        </w:rPr>
        <w:t>.</w:t>
      </w:r>
      <w:r>
        <w:rPr>
          <w:rFonts w:hint="eastAsia"/>
          <w:sz w:val="24"/>
        </w:rPr>
        <w:t>《透水沥青路面技术规程》CJJ/T190-2012</w:t>
      </w:r>
      <w:bookmarkEnd w:id="5"/>
    </w:p>
    <w:p>
      <w:pPr>
        <w:adjustRightInd w:val="0"/>
        <w:snapToGrid w:val="0"/>
        <w:spacing w:line="360" w:lineRule="auto"/>
        <w:ind w:firstLine="480" w:firstLineChars="200"/>
        <w:rPr>
          <w:sz w:val="24"/>
        </w:rPr>
      </w:pPr>
      <w:r>
        <w:rPr>
          <w:rFonts w:hint="eastAsia"/>
          <w:sz w:val="24"/>
        </w:rPr>
        <w:t>18</w:t>
      </w:r>
      <w:r>
        <w:rPr>
          <w:sz w:val="24"/>
        </w:rPr>
        <w:t>.</w:t>
      </w:r>
      <w:r>
        <w:rPr>
          <w:rFonts w:hint="eastAsia"/>
          <w:sz w:val="24"/>
        </w:rPr>
        <w:t>《园林绿化工程盐碱地改良技术标准》CJJ/T283-2018</w:t>
      </w:r>
    </w:p>
    <w:p>
      <w:pPr>
        <w:adjustRightInd w:val="0"/>
        <w:snapToGrid w:val="0"/>
        <w:spacing w:line="360" w:lineRule="auto"/>
        <w:ind w:firstLine="480" w:firstLineChars="200"/>
        <w:rPr>
          <w:sz w:val="24"/>
        </w:rPr>
      </w:pPr>
      <w:r>
        <w:rPr>
          <w:rFonts w:hint="eastAsia"/>
          <w:sz w:val="24"/>
        </w:rPr>
        <w:t>19</w:t>
      </w:r>
      <w:r>
        <w:rPr>
          <w:sz w:val="24"/>
        </w:rPr>
        <w:t>.</w:t>
      </w:r>
      <w:r>
        <w:rPr>
          <w:rFonts w:hint="eastAsia"/>
          <w:sz w:val="24"/>
        </w:rPr>
        <w:t>《园林绿化养护标准》CJJ/T287-2018</w:t>
      </w:r>
    </w:p>
    <w:p>
      <w:pPr>
        <w:adjustRightInd w:val="0"/>
        <w:snapToGrid w:val="0"/>
        <w:spacing w:line="360" w:lineRule="auto"/>
        <w:ind w:firstLine="480" w:firstLineChars="200"/>
        <w:rPr>
          <w:sz w:val="24"/>
        </w:rPr>
      </w:pPr>
      <w:r>
        <w:rPr>
          <w:rFonts w:hint="eastAsia"/>
          <w:sz w:val="24"/>
        </w:rPr>
        <w:t>20</w:t>
      </w:r>
      <w:r>
        <w:rPr>
          <w:sz w:val="24"/>
        </w:rPr>
        <w:t>.</w:t>
      </w:r>
      <w:r>
        <w:rPr>
          <w:rFonts w:hint="eastAsia"/>
          <w:sz w:val="24"/>
        </w:rPr>
        <w:t>《水工挡土墙设计规范》SL379-2007</w:t>
      </w:r>
    </w:p>
    <w:p>
      <w:pPr>
        <w:adjustRightInd w:val="0"/>
        <w:snapToGrid w:val="0"/>
        <w:spacing w:line="360" w:lineRule="auto"/>
        <w:ind w:firstLine="480" w:firstLineChars="200"/>
        <w:rPr>
          <w:sz w:val="24"/>
        </w:rPr>
      </w:pPr>
      <w:r>
        <w:rPr>
          <w:rFonts w:hint="eastAsia"/>
          <w:sz w:val="24"/>
        </w:rPr>
        <w:t>21.《种植屋面工程技术规程》JGJ155-2013</w:t>
      </w:r>
    </w:p>
    <w:p>
      <w:pPr>
        <w:adjustRightInd w:val="0"/>
        <w:snapToGrid w:val="0"/>
        <w:spacing w:line="360" w:lineRule="auto"/>
        <w:ind w:firstLine="480" w:firstLineChars="200"/>
        <w:rPr>
          <w:sz w:val="24"/>
        </w:rPr>
      </w:pPr>
      <w:r>
        <w:rPr>
          <w:rFonts w:hint="eastAsia"/>
          <w:sz w:val="24"/>
        </w:rPr>
        <w:t>2</w:t>
      </w:r>
      <w:r>
        <w:rPr>
          <w:sz w:val="24"/>
        </w:rPr>
        <w:t>2.</w:t>
      </w:r>
      <w:r>
        <w:rPr>
          <w:rFonts w:hint="eastAsia"/>
          <w:sz w:val="24"/>
        </w:rPr>
        <w:t>《海绵城市基础设施施工与质量验收标准》T/CCIAT0014-2019</w:t>
      </w:r>
    </w:p>
    <w:p>
      <w:pPr>
        <w:adjustRightInd w:val="0"/>
        <w:snapToGrid w:val="0"/>
        <w:spacing w:line="360" w:lineRule="auto"/>
        <w:ind w:firstLine="480" w:firstLineChars="200"/>
        <w:rPr>
          <w:sz w:val="24"/>
        </w:rPr>
      </w:pPr>
      <w:r>
        <w:rPr>
          <w:rFonts w:hint="eastAsia"/>
          <w:sz w:val="24"/>
        </w:rPr>
        <w:t>23.《模块化雨水利用系统应用技术规程》T/CECS543-2018</w:t>
      </w:r>
    </w:p>
    <w:p>
      <w:pPr>
        <w:adjustRightInd w:val="0"/>
        <w:snapToGrid w:val="0"/>
        <w:spacing w:line="360" w:lineRule="auto"/>
        <w:ind w:firstLine="480" w:firstLineChars="200"/>
        <w:rPr>
          <w:sz w:val="24"/>
        </w:rPr>
      </w:pPr>
      <w:r>
        <w:rPr>
          <w:rFonts w:hint="eastAsia"/>
          <w:sz w:val="24"/>
        </w:rPr>
        <w:t>24</w:t>
      </w:r>
      <w:r>
        <w:rPr>
          <w:sz w:val="24"/>
        </w:rPr>
        <w:t>.</w:t>
      </w:r>
      <w:r>
        <w:rPr>
          <w:rFonts w:hint="eastAsia"/>
          <w:sz w:val="24"/>
        </w:rPr>
        <w:t>《暗管改良盐碱地技术规程第2部分:规划设计与施工》TD/T1043.2-2013注：上文未列的标准、规范以国家、行业、团体现行标准、规范为准。</w:t>
      </w:r>
    </w:p>
    <w:p>
      <w:pPr>
        <w:adjustRightInd w:val="0"/>
        <w:snapToGrid w:val="0"/>
        <w:spacing w:line="319" w:lineRule="auto"/>
        <w:rPr>
          <w:sz w:val="24"/>
        </w:rPr>
      </w:pPr>
    </w:p>
    <w:p>
      <w:pPr>
        <w:sectPr>
          <w:pgSz w:w="11906" w:h="16838"/>
          <w:pgMar w:top="1440" w:right="1247" w:bottom="1440" w:left="1587" w:header="851" w:footer="992" w:gutter="0"/>
          <w:pgNumType w:fmt="numberInDash"/>
          <w:cols w:space="720" w:num="1"/>
          <w:docGrid w:type="lines" w:linePitch="312" w:charSpace="0"/>
        </w:sectPr>
      </w:pPr>
    </w:p>
    <w:p>
      <w:pPr>
        <w:jc w:val="center"/>
        <w:outlineLvl w:val="1"/>
        <w:rPr>
          <w:rFonts w:ascii="宋体" w:hAnsi="宋体"/>
          <w:bCs/>
          <w:sz w:val="10"/>
          <w:szCs w:val="10"/>
        </w:rPr>
      </w:pPr>
      <w:bookmarkStart w:id="6" w:name="_Toc22050"/>
      <w:r>
        <w:rPr>
          <w:rFonts w:hint="eastAsia" w:ascii="黑体" w:hAnsi="黑体" w:eastAsia="黑体"/>
          <w:b/>
          <w:bCs/>
          <w:sz w:val="30"/>
          <w:szCs w:val="30"/>
        </w:rPr>
        <w:t>四、工程复查实施细则</w:t>
      </w:r>
      <w:r>
        <w:rPr>
          <w:rFonts w:hint="eastAsia" w:ascii="宋体" w:hAnsi="宋体"/>
          <w:bCs/>
          <w:sz w:val="30"/>
          <w:szCs w:val="30"/>
        </w:rPr>
        <w:t>——公共建筑装饰类（景观工程）</w:t>
      </w:r>
      <w:bookmarkEnd w:id="6"/>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bookmarkStart w:id="7" w:name="_GoBack"/>
            <w:bookmarkEnd w:id="7"/>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567"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szCs w:val="21"/>
              </w:rPr>
            </w:pPr>
            <w:r>
              <w:rPr>
                <w:rFonts w:hint="eastAsia" w:ascii="黑体" w:hAnsi="黑体" w:eastAsia="黑体"/>
                <w:szCs w:val="21"/>
              </w:rPr>
              <w:t>必要文件：</w:t>
            </w:r>
          </w:p>
          <w:p>
            <w:pPr>
              <w:pStyle w:val="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企业营业执照、资质等级证书、安全生产许可证（此三项上一年度参评的单位可提供在有效期内的加盖本单位公章的复印件）；</w:t>
            </w:r>
          </w:p>
          <w:p>
            <w:pPr>
              <w:pStyle w:val="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项目经理注册建造师证书、安全生产考核合格证书；</w:t>
            </w:r>
          </w:p>
          <w:p>
            <w:pPr>
              <w:pStyle w:val="4"/>
              <w:snapToGrid w:val="0"/>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工程相关施工许可文件；</w:t>
            </w:r>
          </w:p>
          <w:p>
            <w:pPr>
              <w:pStyle w:val="4"/>
              <w:snapToGrid w:val="0"/>
              <w:spacing w:line="276"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施工合同；</w:t>
            </w:r>
          </w:p>
          <w:p>
            <w:pPr>
              <w:pStyle w:val="4"/>
              <w:snapToGrid w:val="0"/>
              <w:spacing w:line="276"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工程结算报告或结算金额证明；</w:t>
            </w:r>
          </w:p>
          <w:p>
            <w:pPr>
              <w:pStyle w:val="4"/>
              <w:snapToGrid w:val="0"/>
              <w:spacing w:line="276"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工程竣工验收文件。</w:t>
            </w:r>
          </w:p>
        </w:tc>
        <w:tc>
          <w:tcPr>
            <w:tcW w:w="2409" w:type="dxa"/>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p>
          <w:p>
            <w:pPr>
              <w:pStyle w:val="4"/>
              <w:snapToGrid w:val="0"/>
              <w:spacing w:line="288" w:lineRule="auto"/>
              <w:ind w:firstLine="0" w:firstLineChars="0"/>
              <w:jc w:val="left"/>
              <w:rPr>
                <w:rFonts w:ascii="宋体" w:hAnsi="宋体"/>
                <w:szCs w:val="21"/>
              </w:rPr>
            </w:pPr>
            <w:r>
              <w:rPr>
                <w:rFonts w:hint="eastAsia" w:ascii="宋体" w:hAnsi="宋体"/>
                <w:szCs w:val="21"/>
              </w:rPr>
              <w:t>1.必要文件有一项不合格或不符合要求者不予评审。</w:t>
            </w:r>
          </w:p>
          <w:p>
            <w:pPr>
              <w:snapToGrid w:val="0"/>
              <w:spacing w:line="288" w:lineRule="auto"/>
              <w:jc w:val="left"/>
              <w:rPr>
                <w:rFonts w:ascii="宋体" w:hAnsi="宋体"/>
                <w:szCs w:val="21"/>
              </w:rPr>
            </w:pPr>
          </w:p>
        </w:tc>
        <w:tc>
          <w:tcPr>
            <w:tcW w:w="170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pPr>
              <w:snapToGrid w:val="0"/>
              <w:spacing w:line="288" w:lineRule="auto"/>
              <w:jc w:val="left"/>
              <w:rPr>
                <w:rFonts w:ascii="宋体" w:hAnsi="宋体"/>
                <w:szCs w:val="21"/>
              </w:rPr>
            </w:pPr>
            <w:r>
              <w:rPr>
                <w:rFonts w:hint="eastAsia" w:ascii="宋体" w:hAnsi="宋体"/>
                <w:szCs w:val="21"/>
              </w:rPr>
              <w:t>2.景观工程中有配套的装饰施工时需提供相应的资质证明；</w:t>
            </w:r>
          </w:p>
          <w:p>
            <w:pPr>
              <w:snapToGrid w:val="0"/>
              <w:spacing w:line="288" w:lineRule="auto"/>
              <w:jc w:val="left"/>
              <w:rPr>
                <w:rFonts w:ascii="宋体" w:hAnsi="宋体"/>
                <w:szCs w:val="21"/>
              </w:rPr>
            </w:pPr>
            <w:r>
              <w:rPr>
                <w:rFonts w:hint="eastAsia" w:ascii="宋体" w:hAnsi="宋体"/>
                <w:szCs w:val="21"/>
              </w:rPr>
              <w:t>3.涉及工程质量安全、强条项的内容为必查项；</w:t>
            </w:r>
          </w:p>
          <w:p>
            <w:pPr>
              <w:snapToGrid w:val="0"/>
              <w:spacing w:line="288" w:lineRule="auto"/>
              <w:jc w:val="left"/>
              <w:rPr>
                <w:rFonts w:ascii="宋体" w:hAnsi="宋体"/>
                <w:szCs w:val="21"/>
              </w:rPr>
            </w:pPr>
            <w:r>
              <w:rPr>
                <w:rFonts w:hint="eastAsia" w:ascii="宋体" w:hAnsi="宋体"/>
                <w:szCs w:val="21"/>
              </w:rPr>
              <w:t>4.涉及使用功能的内容为必查项。</w:t>
            </w:r>
          </w:p>
        </w:tc>
        <w:tc>
          <w:tcPr>
            <w:tcW w:w="85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查：相关文件资料原件或电子证件（提供网查链接）；</w:t>
            </w:r>
          </w:p>
          <w:p>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bCs/>
                <w:szCs w:val="21"/>
              </w:rPr>
            </w:pPr>
            <w:r>
              <w:rPr>
                <w:rFonts w:hint="eastAsia" w:ascii="黑体" w:hAnsi="黑体" w:eastAsia="黑体"/>
                <w:bCs/>
                <w:szCs w:val="21"/>
              </w:rPr>
              <w:t>工程安全证明资料：</w:t>
            </w:r>
          </w:p>
          <w:p>
            <w:pPr>
              <w:snapToGrid w:val="0"/>
              <w:spacing w:line="276" w:lineRule="auto"/>
              <w:rPr>
                <w:szCs w:val="21"/>
              </w:rPr>
            </w:pPr>
            <w:r>
              <w:rPr>
                <w:rFonts w:hint="eastAsia"/>
                <w:szCs w:val="21"/>
              </w:rPr>
              <w:t>1</w:t>
            </w:r>
            <w:r>
              <w:rPr>
                <w:szCs w:val="21"/>
              </w:rPr>
              <w:t>.</w:t>
            </w:r>
            <w:r>
              <w:rPr>
                <w:rFonts w:hint="eastAsia"/>
                <w:szCs w:val="21"/>
              </w:rPr>
              <w:t>涉及主体和承重结构改动或增加荷载时，必须具有经原结构设计单位或具备相应资质设计单位的认可文件（需审查原件）；</w:t>
            </w:r>
          </w:p>
          <w:p>
            <w:pPr>
              <w:snapToGrid w:val="0"/>
              <w:spacing w:line="276" w:lineRule="auto"/>
              <w:rPr>
                <w:rFonts w:hint="eastAsia"/>
                <w:szCs w:val="21"/>
              </w:rPr>
            </w:pPr>
            <w:r>
              <w:rPr>
                <w:rFonts w:hint="eastAsia"/>
                <w:szCs w:val="21"/>
              </w:rPr>
              <w:t>2</w:t>
            </w:r>
            <w:r>
              <w:rPr>
                <w:szCs w:val="21"/>
              </w:rPr>
              <w:t>.</w:t>
            </w:r>
            <w:r>
              <w:rPr>
                <w:rFonts w:hint="eastAsia"/>
                <w:szCs w:val="21"/>
              </w:rPr>
              <w:t>景墙、墙柱面干挂节点图、拉拔试验报告及其材料合格证、检测报告、隐蔽验收记录等；</w:t>
            </w:r>
          </w:p>
        </w:tc>
        <w:tc>
          <w:tcPr>
            <w:tcW w:w="2409" w:type="dxa"/>
            <w:tcBorders>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每项不符合扣5-</w:t>
            </w:r>
            <w:r>
              <w:rPr>
                <w:rFonts w:ascii="宋体" w:hAnsi="宋体"/>
                <w:szCs w:val="21"/>
              </w:rPr>
              <w:t>10</w:t>
            </w:r>
            <w:r>
              <w:rPr>
                <w:rFonts w:hint="eastAsia" w:ascii="宋体" w:hAnsi="宋体"/>
                <w:szCs w:val="21"/>
              </w:rPr>
              <w:t>分</w:t>
            </w: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结合工程实体查资料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bCs/>
                <w:szCs w:val="21"/>
              </w:rPr>
            </w:pPr>
            <w:r>
              <w:rPr>
                <w:rFonts w:hint="eastAsia" w:ascii="黑体" w:hAnsi="黑体" w:eastAsia="黑体"/>
                <w:bCs/>
                <w:szCs w:val="21"/>
              </w:rPr>
              <w:t>隐检记录</w:t>
            </w:r>
          </w:p>
          <w:p>
            <w:pPr>
              <w:pStyle w:val="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构筑物结构、墙面基层、园路基层、苗木种植等隐检不全；</w:t>
            </w:r>
          </w:p>
          <w:p>
            <w:pPr>
              <w:pStyle w:val="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雨水、污水、给水、电气安装等隐检不全；</w:t>
            </w:r>
          </w:p>
          <w:p>
            <w:pPr>
              <w:snapToGrid w:val="0"/>
              <w:spacing w:line="276" w:lineRule="auto"/>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隐蔽资料含工程施工过程照片，尤其是涉及安全方面的要有影像资料。</w:t>
            </w:r>
          </w:p>
        </w:tc>
        <w:tc>
          <w:tcPr>
            <w:tcW w:w="2409" w:type="dxa"/>
            <w:vMerge w:val="restart"/>
            <w:tcBorders>
              <w:left w:val="single" w:color="auto" w:sz="4" w:space="0"/>
              <w:right w:val="single" w:color="auto" w:sz="4" w:space="0"/>
            </w:tcBorders>
            <w:noWrap w:val="0"/>
            <w:vAlign w:val="center"/>
          </w:tcPr>
          <w:p>
            <w:pPr>
              <w:pStyle w:val="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装饰装修分值按公共建筑装饰类（公共建筑装饰工程）执行；</w:t>
            </w:r>
          </w:p>
          <w:p>
            <w:pPr>
              <w:pStyle w:val="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其它不符合每项扣0.5-1分。</w:t>
            </w: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bCs/>
                <w:szCs w:val="21"/>
              </w:rPr>
            </w:pPr>
            <w:r>
              <w:rPr>
                <w:rFonts w:hint="eastAsia" w:ascii="黑体" w:hAnsi="黑体" w:eastAsia="黑体"/>
                <w:bCs/>
                <w:szCs w:val="21"/>
              </w:rPr>
              <w:t>其它资料</w:t>
            </w:r>
          </w:p>
          <w:p>
            <w:pPr>
              <w:pStyle w:val="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材质证明：主要装饰材料的合格证、检测报告（加盖存档单位公章、存档人）及复试报告（原件）；</w:t>
            </w:r>
          </w:p>
          <w:p>
            <w:pPr>
              <w:pStyle w:val="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图纸会审记录、施工组织设计、特殊专项方案、技术交底审批手续不完整，签字不齐全；施工日志日期不连续，内容不全面，签字不齐全；</w:t>
            </w:r>
          </w:p>
          <w:p>
            <w:pPr>
              <w:pStyle w:val="4"/>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检验批、分项、分部（子分部）质量验收记录不齐全（原件）；</w:t>
            </w:r>
          </w:p>
          <w:p>
            <w:pPr>
              <w:pStyle w:val="4"/>
              <w:snapToGrid w:val="0"/>
              <w:spacing w:line="276" w:lineRule="auto"/>
              <w:ind w:firstLine="0" w:firstLineChars="0"/>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竣工图（重点部位、重要节点图纸）与隐蔽验收不一致、节能设计等未按公共建筑装饰类执行。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567"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p>
        </w:tc>
        <w:tc>
          <w:tcPr>
            <w:tcW w:w="1277" w:type="dxa"/>
            <w:vMerge w:val="restart"/>
            <w:tcBorders>
              <w:left w:val="single" w:color="auto" w:sz="4" w:space="0"/>
              <w:right w:val="single" w:color="auto" w:sz="4" w:space="0"/>
            </w:tcBorders>
            <w:noWrap w:val="0"/>
            <w:vAlign w:val="center"/>
          </w:tcPr>
          <w:p>
            <w:pPr>
              <w:snapToGrid w:val="0"/>
              <w:spacing w:line="240" w:lineRule="exact"/>
              <w:jc w:val="center"/>
              <w:rPr>
                <w:rFonts w:hint="eastAsia" w:ascii="宋体" w:hAnsi="宋体"/>
                <w:bCs/>
                <w:szCs w:val="21"/>
              </w:rPr>
            </w:pPr>
            <w:r>
              <w:rPr>
                <w:rFonts w:hint="eastAsia" w:ascii="宋体" w:hAnsi="宋体"/>
                <w:bCs/>
                <w:szCs w:val="21"/>
              </w:rPr>
              <w:t>硬质工程</w:t>
            </w:r>
          </w:p>
          <w:p>
            <w:pPr>
              <w:snapToGrid w:val="0"/>
              <w:spacing w:line="240" w:lineRule="exact"/>
              <w:jc w:val="center"/>
              <w:rPr>
                <w:rFonts w:ascii="宋体" w:hAnsi="宋体"/>
                <w:szCs w:val="21"/>
              </w:rPr>
            </w:pPr>
            <w:r>
              <w:rPr>
                <w:rFonts w:hint="eastAsia" w:ascii="宋体" w:hAnsi="宋体"/>
                <w:bCs/>
                <w:szCs w:val="21"/>
              </w:rPr>
              <w:t>（包括土建及铺装工程）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一般观感</w:t>
            </w:r>
          </w:p>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石材缺棱掉角、裂缝、脱色、色筋、污痕和显著的光泽受损；洁净、色泽欠协调；</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彩色沥青明显缺失、皲裂、褶皱、裂缝、气泡、脱壳现象；坑洼鼓包、离层、骨料脱落；表面欠平整、坡面欠平顺流畅，有积水；有二次挖补痕迹；</w:t>
            </w:r>
          </w:p>
          <w:p>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铺装不平整、坡度不顺，存在积水或大面积水渍。</w:t>
            </w:r>
          </w:p>
        </w:tc>
        <w:tc>
          <w:tcPr>
            <w:tcW w:w="2409" w:type="dxa"/>
            <w:vMerge w:val="restart"/>
            <w:tcBorders>
              <w:top w:val="single" w:color="auto" w:sz="4" w:space="0"/>
              <w:left w:val="single" w:color="auto" w:sz="4" w:space="0"/>
              <w:right w:val="single" w:color="auto" w:sz="4" w:space="0"/>
            </w:tcBorders>
            <w:noWrap w:val="0"/>
            <w:vAlign w:val="center"/>
          </w:tcPr>
          <w:p>
            <w:pPr>
              <w:pStyle w:val="4"/>
              <w:snapToGrid w:val="0"/>
              <w:spacing w:line="288" w:lineRule="auto"/>
              <w:ind w:firstLine="0" w:firstLineChars="0"/>
              <w:rPr>
                <w:rFonts w:ascii="宋体" w:hAnsi="宋体"/>
                <w:szCs w:val="21"/>
              </w:rPr>
            </w:pPr>
            <w:r>
              <w:rPr>
                <w:rFonts w:ascii="宋体" w:hAnsi="宋体"/>
                <w:szCs w:val="21"/>
              </w:rPr>
              <w:t>1.</w:t>
            </w:r>
            <w:r>
              <w:rPr>
                <w:rFonts w:hint="eastAsia" w:ascii="宋体" w:hAnsi="宋体"/>
                <w:szCs w:val="21"/>
              </w:rPr>
              <w:t>装饰装修分值按公共建筑装饰类</w:t>
            </w:r>
            <w:r>
              <w:rPr>
                <w:rFonts w:hint="eastAsia"/>
                <w:szCs w:val="21"/>
              </w:rPr>
              <w:t>（公共建筑装饰工程）</w:t>
            </w:r>
            <w:r>
              <w:rPr>
                <w:rFonts w:hint="eastAsia" w:ascii="宋体" w:hAnsi="宋体"/>
                <w:szCs w:val="21"/>
              </w:rPr>
              <w:t>执行。</w:t>
            </w:r>
          </w:p>
          <w:p>
            <w:pPr>
              <w:pStyle w:val="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其它问题每项扣0.5-1分。</w:t>
            </w:r>
          </w:p>
        </w:tc>
        <w:tc>
          <w:tcPr>
            <w:tcW w:w="1701" w:type="dxa"/>
            <w:vMerge w:val="restart"/>
            <w:tcBorders>
              <w:left w:val="single" w:color="auto" w:sz="4" w:space="0"/>
              <w:right w:val="single" w:color="auto" w:sz="4" w:space="0"/>
            </w:tcBorders>
            <w:noWrap w:val="0"/>
            <w:vAlign w:val="center"/>
          </w:tcPr>
          <w:p>
            <w:pPr>
              <w:pStyle w:val="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涉及工程质量安全、强条项的内容为必查项。</w:t>
            </w:r>
          </w:p>
          <w:p>
            <w:pPr>
              <w:pStyle w:val="4"/>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88" w:lineRule="auto"/>
              <w:rPr>
                <w:rFonts w:ascii="宋体" w:hAnsi="宋体"/>
                <w:szCs w:val="21"/>
              </w:rPr>
            </w:pPr>
            <w:r>
              <w:rPr>
                <w:rFonts w:ascii="宋体" w:hAnsi="宋体"/>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花岗石/大理石/仿石/瓷砖/砖/瓦/马赛克等</w:t>
            </w:r>
          </w:p>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形状欠平整方正，异型加工尺寸不到位，磨边、磨角、拉槽、清口整体不通顺、有偏差；</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线型不顺直、弧线欠顺畅，隔边图案分界不清晰；存在材质、规格使用错误，存在遗漏施工、大面积色差、明显泛碱等现象。</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碎拼/冰裂纹/鹅卵石/河滩石/砾石/石笼墙/码砌墙等</w:t>
            </w:r>
          </w:p>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材料颜色欠协调、表面存在明显斑块、风化缺陷、松动脱落泛碱现象；卵石铺设不均匀；</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码砌勾缝、填缝欠圆润美观；有水泥、油渍、油漆、胶体等污染；有碾压、磕碰、撞击等损坏。</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彩色沥青/混凝土/橡胶地垫/胶黏石/水洗石/水磨石/仿石漆/涂料</w:t>
            </w:r>
          </w:p>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骨料级配不均匀、有离析、颜色欠均匀；</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拼缝处的图案、花纹欠吻合，有胶痕，平立面交接欠严密，阴阳角收边不方正；与收水口、井盖等结合处欠平整严密、不牢固；收水口有积水现象；</w:t>
            </w:r>
          </w:p>
          <w:p>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水泥、油渍、油漆、胶体等存在污染；有碾压轮迹、脚印、手印等痕迹。</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石材压顶、台阶、汀步、植草格</w:t>
            </w:r>
          </w:p>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踏步不平整存在积水，防滑槽处理不牢靠；有明显泛碱、空鼓；步距、高度不一致，边线欠直顺；转角拼缝欠一致；路面、绿地接口欠平整；</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石材厚度不一致，有明显爆边、掉角、裂缝、色筋、色差；形状欠平整方正，异型加工尺寸欠佳；侧面处理有遗漏；磨边、磨角、拉槽、清口整体不顺直、有偏差。</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7"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w:t>
            </w:r>
          </w:p>
        </w:tc>
        <w:tc>
          <w:tcPr>
            <w:tcW w:w="1277"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r>
              <w:rPr>
                <w:rFonts w:hint="eastAsia" w:ascii="宋体" w:hAnsi="宋体"/>
                <w:bCs/>
                <w:szCs w:val="21"/>
              </w:rPr>
              <w:t>绿化工程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一般观感</w:t>
            </w:r>
          </w:p>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苗木树形欠优美，胸径、蓬径、高度、冠幅不符合设计要求；有较多死苗，大树未设排水透气管；</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草坪坪床欠平整、不饱满有塌陷、有积水；有较多死亡、病虫害、斑脱、杂草；</w:t>
            </w:r>
          </w:p>
          <w:p>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回土高度不足、地形不平整、坡度不顺畅、排水欠佳。</w:t>
            </w:r>
          </w:p>
        </w:tc>
        <w:tc>
          <w:tcPr>
            <w:tcW w:w="2409" w:type="dxa"/>
            <w:vMerge w:val="restart"/>
            <w:tcBorders>
              <w:top w:val="single" w:color="auto" w:sz="4" w:space="0"/>
              <w:left w:val="single" w:color="auto" w:sz="4" w:space="0"/>
              <w:right w:val="single" w:color="auto" w:sz="4" w:space="0"/>
            </w:tcBorders>
            <w:noWrap w:val="0"/>
            <w:vAlign w:val="center"/>
          </w:tcPr>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w:t>
            </w:r>
            <w:r>
              <w:rPr>
                <w:rFonts w:hint="eastAsia"/>
                <w:szCs w:val="21"/>
              </w:rPr>
              <w:t>（公共建筑装饰工程）</w:t>
            </w:r>
            <w:r>
              <w:rPr>
                <w:rFonts w:hint="eastAsia" w:ascii="宋体" w:hAnsi="宋体"/>
                <w:szCs w:val="21"/>
              </w:rPr>
              <w:t>执行；</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其它问题项每项扣0.5-1分。</w:t>
            </w:r>
          </w:p>
        </w:tc>
        <w:tc>
          <w:tcPr>
            <w:tcW w:w="1701" w:type="dxa"/>
            <w:vMerge w:val="restart"/>
            <w:tcBorders>
              <w:left w:val="single" w:color="auto" w:sz="4" w:space="0"/>
              <w:right w:val="single" w:color="auto" w:sz="4" w:space="0"/>
            </w:tcBorders>
            <w:noWrap w:val="0"/>
            <w:vAlign w:val="center"/>
          </w:tcPr>
          <w:p>
            <w:pPr>
              <w:pStyle w:val="4"/>
              <w:snapToGrid w:val="0"/>
              <w:spacing w:line="288" w:lineRule="auto"/>
              <w:ind w:firstLine="0" w:firstLineChars="0"/>
              <w:jc w:val="left"/>
              <w:rPr>
                <w:rFonts w:ascii="宋体" w:hAnsi="宋体"/>
                <w:szCs w:val="21"/>
              </w:rPr>
            </w:pPr>
            <w:r>
              <w:rPr>
                <w:rFonts w:hint="eastAsia" w:ascii="宋体" w:hAnsi="宋体"/>
                <w:szCs w:val="21"/>
              </w:rPr>
              <w:t>1.涉及工程质量安全、强条项的内容为必查项；</w:t>
            </w:r>
          </w:p>
          <w:p>
            <w:pPr>
              <w:pStyle w:val="4"/>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乔木、灌木、球类、小苗</w:t>
            </w:r>
          </w:p>
          <w:p>
            <w:pPr>
              <w:snapToGrid w:val="0"/>
              <w:spacing w:line="288"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修剪层次不分明，骨架不完整，过度修剪,观感欠佳；</w:t>
            </w:r>
          </w:p>
          <w:p>
            <w:pPr>
              <w:snapToGrid w:val="0"/>
              <w:spacing w:line="288" w:lineRule="auto"/>
              <w:rPr>
                <w:rFonts w:ascii="宋体" w:hAnsi="宋体"/>
                <w:szCs w:val="21"/>
              </w:rPr>
            </w:pPr>
            <w:r>
              <w:rPr>
                <w:rFonts w:ascii="宋体" w:hAnsi="宋体"/>
                <w:szCs w:val="21"/>
              </w:rPr>
              <w:t>2.</w:t>
            </w:r>
            <w:r>
              <w:rPr>
                <w:rFonts w:hint="eastAsia" w:ascii="宋体" w:hAnsi="宋体"/>
                <w:szCs w:val="21"/>
              </w:rPr>
              <w:t>存在较多伤苗、枯稍、阴稍、病虫害及明显机械损伤。</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地被、花卉、草坪</w:t>
            </w:r>
          </w:p>
          <w:p>
            <w:pPr>
              <w:snapToGrid w:val="0"/>
              <w:spacing w:line="288"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存在较多死亡、病虫害现象，苗木长势较差；修剪不及时，高度不符合图纸规范要求；</w:t>
            </w:r>
          </w:p>
          <w:p>
            <w:pPr>
              <w:snapToGrid w:val="0"/>
              <w:spacing w:line="288"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栽植不均匀、不平整，密度不合理，有明显露土；边缘线条欠顺畅、轮廓线不清晰；</w:t>
            </w:r>
          </w:p>
          <w:p>
            <w:pPr>
              <w:snapToGrid w:val="0"/>
              <w:spacing w:line="288" w:lineRule="auto"/>
              <w:rPr>
                <w:rFonts w:ascii="黑体" w:hAnsi="黑体" w:eastAsia="黑体"/>
                <w:szCs w:val="21"/>
              </w:rPr>
            </w:pPr>
            <w:r>
              <w:rPr>
                <w:rFonts w:hint="eastAsia" w:ascii="宋体" w:hAnsi="宋体"/>
                <w:szCs w:val="21"/>
              </w:rPr>
              <w:t>3</w:t>
            </w:r>
            <w:r>
              <w:rPr>
                <w:rFonts w:ascii="宋体" w:hAnsi="宋体"/>
                <w:szCs w:val="21"/>
              </w:rPr>
              <w:t>.</w:t>
            </w:r>
            <w:r>
              <w:rPr>
                <w:rFonts w:hint="eastAsia" w:ascii="宋体" w:hAnsi="宋体"/>
                <w:szCs w:val="21"/>
              </w:rPr>
              <w:t>草坪有坑洼凹凸不平现象；与地被衔接不流畅，与</w:t>
            </w:r>
            <w:r>
              <w:rPr>
                <w:rFonts w:hint="eastAsia" w:ascii="宋体" w:hAnsi="宋体"/>
                <w:snapToGrid w:val="0"/>
                <w:spacing w:val="-6"/>
                <w:kern w:val="0"/>
                <w:sz w:val="21"/>
                <w:szCs w:val="21"/>
              </w:rPr>
              <w:t>铺装衔接不自然，收口不精细；硬质衔接存在枯死现象。</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种植措施</w:t>
            </w:r>
          </w:p>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支撑不齐全，绑扎不牢固，高低不统一，方向不一致；断枝、修剪锯口不平顺，存在暴力折断、撕裂，伤口、切口未涂抹保护；</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树穴修边不圆顺、不流畅；树干有夹板、竹片，绕杆；透气导管规格材质不一致，方向角度不合理。</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567"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4</w:t>
            </w:r>
          </w:p>
        </w:tc>
        <w:tc>
          <w:tcPr>
            <w:tcW w:w="1277"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安装工程及其它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一般观感</w:t>
            </w:r>
          </w:p>
          <w:p>
            <w:pPr>
              <w:pStyle w:val="4"/>
              <w:snapToGrid w:val="0"/>
              <w:spacing w:line="288" w:lineRule="auto"/>
              <w:ind w:firstLine="0" w:firstLineChars="0"/>
              <w:rPr>
                <w:szCs w:val="21"/>
              </w:rPr>
            </w:pPr>
            <w:r>
              <w:rPr>
                <w:rFonts w:hint="eastAsia"/>
                <w:szCs w:val="21"/>
              </w:rPr>
              <w:t>1</w:t>
            </w:r>
            <w:r>
              <w:rPr>
                <w:szCs w:val="21"/>
              </w:rPr>
              <w:t>.</w:t>
            </w:r>
            <w:r>
              <w:rPr>
                <w:rFonts w:hint="eastAsia"/>
                <w:szCs w:val="21"/>
              </w:rPr>
              <w:t>钢结构构件有变形、扭曲、裂痕，颜色不均匀、有色差；整体线形、线条不通顺、不流畅，装饰不美观，表面不平整有污染；</w:t>
            </w:r>
          </w:p>
          <w:p>
            <w:pPr>
              <w:pStyle w:val="4"/>
              <w:snapToGrid w:val="0"/>
              <w:spacing w:line="288" w:lineRule="auto"/>
              <w:ind w:firstLine="0" w:firstLineChars="0"/>
              <w:rPr>
                <w:szCs w:val="21"/>
              </w:rPr>
            </w:pPr>
            <w:r>
              <w:rPr>
                <w:rFonts w:hint="eastAsia"/>
                <w:szCs w:val="21"/>
              </w:rPr>
              <w:t>2</w:t>
            </w:r>
            <w:r>
              <w:rPr>
                <w:szCs w:val="21"/>
              </w:rPr>
              <w:t>.</w:t>
            </w:r>
            <w:r>
              <w:rPr>
                <w:rFonts w:hint="eastAsia"/>
                <w:szCs w:val="21"/>
              </w:rPr>
              <w:t>木构件有裂纹、结疤，有明显变形，安装不牢固；</w:t>
            </w:r>
          </w:p>
          <w:p>
            <w:pPr>
              <w:pStyle w:val="4"/>
              <w:snapToGrid w:val="0"/>
              <w:spacing w:line="288" w:lineRule="auto"/>
              <w:ind w:firstLine="0" w:firstLineChars="0"/>
              <w:rPr>
                <w:szCs w:val="21"/>
              </w:rPr>
            </w:pPr>
            <w:r>
              <w:rPr>
                <w:rFonts w:hint="eastAsia"/>
                <w:szCs w:val="21"/>
              </w:rPr>
              <w:t>3</w:t>
            </w:r>
            <w:r>
              <w:rPr>
                <w:szCs w:val="21"/>
              </w:rPr>
              <w:t>.</w:t>
            </w:r>
            <w:r>
              <w:rPr>
                <w:rFonts w:hint="eastAsia"/>
                <w:szCs w:val="21"/>
              </w:rPr>
              <w:t>水质浑浊，水生或水岸植物搭配不合理、欠美观；</w:t>
            </w:r>
          </w:p>
          <w:p>
            <w:pPr>
              <w:pStyle w:val="4"/>
              <w:snapToGrid w:val="0"/>
              <w:spacing w:line="288" w:lineRule="auto"/>
              <w:ind w:firstLine="0" w:firstLineChars="0"/>
              <w:rPr>
                <w:szCs w:val="21"/>
              </w:rPr>
            </w:pPr>
            <w:r>
              <w:rPr>
                <w:rFonts w:hint="eastAsia"/>
                <w:szCs w:val="21"/>
              </w:rPr>
              <w:t>4</w:t>
            </w:r>
            <w:r>
              <w:rPr>
                <w:szCs w:val="21"/>
              </w:rPr>
              <w:t>.</w:t>
            </w:r>
            <w:r>
              <w:rPr>
                <w:rFonts w:hint="eastAsia"/>
                <w:szCs w:val="21"/>
              </w:rPr>
              <w:t>雨、污不分流，标识不清晰，安装错误，井框收口不美观，与其他部位衔接不顺畅，影响绿化种植；</w:t>
            </w:r>
          </w:p>
          <w:p>
            <w:pPr>
              <w:pStyle w:val="4"/>
              <w:snapToGrid w:val="0"/>
              <w:spacing w:line="288" w:lineRule="auto"/>
              <w:ind w:firstLine="0" w:firstLineChars="0"/>
              <w:rPr>
                <w:szCs w:val="21"/>
              </w:rPr>
            </w:pPr>
            <w:r>
              <w:rPr>
                <w:rFonts w:hint="eastAsia"/>
                <w:szCs w:val="21"/>
              </w:rPr>
              <w:t>5</w:t>
            </w:r>
            <w:r>
              <w:rPr>
                <w:szCs w:val="21"/>
              </w:rPr>
              <w:t>.</w:t>
            </w:r>
            <w:r>
              <w:rPr>
                <w:rFonts w:hint="eastAsia"/>
                <w:szCs w:val="21"/>
              </w:rPr>
              <w:t>假山叠石有松动现象。</w:t>
            </w:r>
          </w:p>
        </w:tc>
        <w:tc>
          <w:tcPr>
            <w:tcW w:w="2409" w:type="dxa"/>
            <w:vMerge w:val="restart"/>
            <w:tcBorders>
              <w:top w:val="single" w:color="auto" w:sz="4" w:space="0"/>
              <w:left w:val="single" w:color="auto" w:sz="4" w:space="0"/>
              <w:right w:val="single" w:color="auto" w:sz="4" w:space="0"/>
            </w:tcBorders>
            <w:noWrap w:val="0"/>
            <w:vAlign w:val="center"/>
          </w:tcPr>
          <w:p>
            <w:pPr>
              <w:snapToGrid w:val="0"/>
              <w:spacing w:line="288" w:lineRule="auto"/>
              <w:ind w:left="2"/>
              <w:rPr>
                <w:rFonts w:ascii="Calibri" w:hAnsi="Calibri"/>
                <w:szCs w:val="21"/>
              </w:rPr>
            </w:pPr>
            <w:r>
              <w:rPr>
                <w:rFonts w:hint="eastAsia" w:ascii="Calibri" w:hAnsi="Calibri"/>
                <w:szCs w:val="21"/>
              </w:rPr>
              <w:t>1.装饰装修分值按公共建筑装饰类（公共建筑装饰工程）执行；</w:t>
            </w:r>
          </w:p>
          <w:p>
            <w:pPr>
              <w:snapToGrid w:val="0"/>
              <w:spacing w:line="288" w:lineRule="auto"/>
              <w:ind w:left="2"/>
              <w:rPr>
                <w:rFonts w:ascii="Calibri" w:hAnsi="Calibri"/>
                <w:szCs w:val="21"/>
              </w:rPr>
            </w:pPr>
            <w:r>
              <w:rPr>
                <w:rFonts w:hint="eastAsia" w:ascii="Calibri" w:hAnsi="Calibri"/>
                <w:szCs w:val="21"/>
              </w:rPr>
              <w:t>2.其它问题项每项扣0.5-1分。</w:t>
            </w:r>
          </w:p>
        </w:tc>
        <w:tc>
          <w:tcPr>
            <w:tcW w:w="1701" w:type="dxa"/>
            <w:vMerge w:val="restart"/>
            <w:tcBorders>
              <w:left w:val="single" w:color="auto" w:sz="4" w:space="0"/>
              <w:right w:val="single" w:color="auto" w:sz="4" w:space="0"/>
            </w:tcBorders>
            <w:noWrap w:val="0"/>
            <w:vAlign w:val="center"/>
          </w:tcPr>
          <w:p>
            <w:pPr>
              <w:pStyle w:val="4"/>
              <w:snapToGrid w:val="0"/>
              <w:spacing w:line="288" w:lineRule="auto"/>
              <w:ind w:firstLine="0" w:firstLineChars="0"/>
              <w:rPr>
                <w:szCs w:val="21"/>
              </w:rPr>
            </w:pPr>
            <w:r>
              <w:rPr>
                <w:rFonts w:hint="eastAsia"/>
                <w:szCs w:val="21"/>
              </w:rPr>
              <w:t>1</w:t>
            </w:r>
            <w:r>
              <w:rPr>
                <w:szCs w:val="21"/>
              </w:rPr>
              <w:t>.</w:t>
            </w:r>
            <w:r>
              <w:rPr>
                <w:rFonts w:hint="eastAsia"/>
                <w:szCs w:val="21"/>
              </w:rPr>
              <w:t>涉及工程质量安全、强条项的内容为必查项。</w:t>
            </w:r>
          </w:p>
          <w:p>
            <w:pPr>
              <w:pStyle w:val="4"/>
              <w:snapToGrid w:val="0"/>
              <w:spacing w:line="288" w:lineRule="auto"/>
              <w:ind w:firstLine="0" w:firstLineChars="0"/>
              <w:rPr>
                <w:szCs w:val="21"/>
              </w:rPr>
            </w:pPr>
            <w:r>
              <w:rPr>
                <w:rFonts w:hint="eastAsia"/>
                <w:szCs w:val="21"/>
              </w:rPr>
              <w:t>2</w:t>
            </w:r>
            <w:r>
              <w:rPr>
                <w:szCs w:val="21"/>
              </w:rPr>
              <w:t>.</w:t>
            </w:r>
            <w:r>
              <w:rPr>
                <w:rFonts w:hint="eastAsia"/>
                <w:szCs w:val="21"/>
              </w:rPr>
              <w:t>涉及使用功能的内容为必查项。</w:t>
            </w:r>
          </w:p>
          <w:p>
            <w:pPr>
              <w:snapToGrid w:val="0"/>
              <w:spacing w:line="288" w:lineRule="auto"/>
              <w:rPr>
                <w:rFonts w:ascii="Calibri" w:hAnsi="Calibri"/>
                <w:szCs w:val="21"/>
              </w:rPr>
            </w:pP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25分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88" w:lineRule="auto"/>
              <w:rPr>
                <w:szCs w:val="21"/>
              </w:rPr>
            </w:pPr>
            <w:r>
              <w:rPr>
                <w:rFonts w:hint="eastAsia" w:ascii="宋体" w:hAnsi="宋体"/>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钢结构</w:t>
            </w:r>
          </w:p>
          <w:p>
            <w:pPr>
              <w:pStyle w:val="4"/>
              <w:snapToGrid w:val="0"/>
              <w:spacing w:line="288" w:lineRule="auto"/>
              <w:ind w:firstLine="0" w:firstLineChars="0"/>
              <w:rPr>
                <w:szCs w:val="21"/>
              </w:rPr>
            </w:pPr>
            <w:r>
              <w:rPr>
                <w:rFonts w:hint="eastAsia"/>
                <w:szCs w:val="21"/>
              </w:rPr>
              <w:t>1</w:t>
            </w:r>
            <w:r>
              <w:rPr>
                <w:szCs w:val="21"/>
              </w:rPr>
              <w:t>.</w:t>
            </w:r>
            <w:r>
              <w:rPr>
                <w:rFonts w:hint="eastAsia"/>
                <w:szCs w:val="21"/>
              </w:rPr>
              <w:t>预埋件设置不合理、不牢固，防锈措施不足；焊缝2</w:t>
            </w:r>
            <w:r>
              <w:rPr>
                <w:szCs w:val="21"/>
              </w:rPr>
              <w:t>.</w:t>
            </w:r>
            <w:r>
              <w:rPr>
                <w:rFonts w:hint="eastAsia"/>
                <w:szCs w:val="21"/>
              </w:rPr>
              <w:t>不饱满圆润，打磨不到位，有明显气孔夹渣，有凹凸打磨不平整现象；</w:t>
            </w:r>
          </w:p>
          <w:p>
            <w:pPr>
              <w:pStyle w:val="4"/>
              <w:snapToGrid w:val="0"/>
              <w:spacing w:line="288" w:lineRule="auto"/>
              <w:ind w:firstLine="0" w:firstLineChars="0"/>
              <w:rPr>
                <w:szCs w:val="21"/>
              </w:rPr>
            </w:pPr>
            <w:r>
              <w:rPr>
                <w:rFonts w:hint="eastAsia"/>
                <w:szCs w:val="21"/>
              </w:rPr>
              <w:t>3</w:t>
            </w:r>
            <w:r>
              <w:rPr>
                <w:szCs w:val="21"/>
              </w:rPr>
              <w:t>.</w:t>
            </w:r>
            <w:r>
              <w:rPr>
                <w:rFonts w:hint="eastAsia"/>
                <w:szCs w:val="21"/>
              </w:rPr>
              <w:t>焊缝不美观，有松脱；端头未封堵、无防锈装置，有直接裸露现象；</w:t>
            </w:r>
          </w:p>
        </w:tc>
        <w:tc>
          <w:tcPr>
            <w:tcW w:w="2409" w:type="dxa"/>
            <w:vMerge w:val="continue"/>
            <w:tcBorders>
              <w:left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木饰面、木地板</w:t>
            </w:r>
          </w:p>
          <w:p>
            <w:pPr>
              <w:pStyle w:val="4"/>
              <w:snapToGrid w:val="0"/>
              <w:spacing w:line="288" w:lineRule="auto"/>
              <w:ind w:firstLine="0" w:firstLineChars="0"/>
              <w:rPr>
                <w:szCs w:val="21"/>
              </w:rPr>
            </w:pPr>
            <w:r>
              <w:rPr>
                <w:rFonts w:hint="eastAsia"/>
                <w:szCs w:val="21"/>
              </w:rPr>
              <w:t>1</w:t>
            </w:r>
            <w:r>
              <w:rPr>
                <w:szCs w:val="21"/>
              </w:rPr>
              <w:t>.</w:t>
            </w:r>
            <w:r>
              <w:rPr>
                <w:rFonts w:hint="eastAsia"/>
                <w:szCs w:val="21"/>
              </w:rPr>
              <w:t>铺装面板安装时缝隙宽度不一致，出现短头，与基层有剥离现象；拼缝有错缝；</w:t>
            </w:r>
          </w:p>
          <w:p>
            <w:pPr>
              <w:pStyle w:val="4"/>
              <w:snapToGrid w:val="0"/>
              <w:spacing w:line="288" w:lineRule="auto"/>
              <w:ind w:firstLine="0" w:firstLineChars="0"/>
              <w:rPr>
                <w:szCs w:val="21"/>
              </w:rPr>
            </w:pPr>
            <w:r>
              <w:rPr>
                <w:rFonts w:hint="eastAsia"/>
                <w:szCs w:val="21"/>
              </w:rPr>
              <w:t>2</w:t>
            </w:r>
            <w:r>
              <w:rPr>
                <w:szCs w:val="21"/>
              </w:rPr>
              <w:t>.</w:t>
            </w:r>
            <w:r>
              <w:rPr>
                <w:rFonts w:hint="eastAsia"/>
                <w:szCs w:val="21"/>
              </w:rPr>
              <w:t>防腐木油涂刷前未抛光处理、有毛刺；涂刷不均匀，有流坠现象；整体色差明显。</w:t>
            </w:r>
          </w:p>
        </w:tc>
        <w:tc>
          <w:tcPr>
            <w:tcW w:w="2409" w:type="dxa"/>
            <w:vMerge w:val="continue"/>
            <w:tcBorders>
              <w:left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假山置石</w:t>
            </w:r>
          </w:p>
          <w:p>
            <w:pPr>
              <w:pStyle w:val="4"/>
              <w:snapToGrid w:val="0"/>
              <w:spacing w:line="288" w:lineRule="auto"/>
              <w:ind w:firstLine="0" w:firstLineChars="0"/>
              <w:rPr>
                <w:szCs w:val="21"/>
              </w:rPr>
            </w:pPr>
            <w:r>
              <w:rPr>
                <w:rFonts w:hint="eastAsia"/>
                <w:szCs w:val="21"/>
              </w:rPr>
              <w:t>1</w:t>
            </w:r>
            <w:r>
              <w:rPr>
                <w:szCs w:val="21"/>
              </w:rPr>
              <w:t>.</w:t>
            </w:r>
            <w:r>
              <w:rPr>
                <w:rFonts w:hint="eastAsia"/>
                <w:szCs w:val="21"/>
              </w:rPr>
              <w:t>置石石色、纹理、形体欠协调、不完整；</w:t>
            </w:r>
          </w:p>
          <w:p>
            <w:pPr>
              <w:pStyle w:val="4"/>
              <w:snapToGrid w:val="0"/>
              <w:spacing w:line="288" w:lineRule="auto"/>
              <w:ind w:firstLine="0" w:firstLineChars="0"/>
              <w:rPr>
                <w:szCs w:val="21"/>
              </w:rPr>
            </w:pPr>
            <w:r>
              <w:rPr>
                <w:rFonts w:hint="eastAsia"/>
                <w:szCs w:val="21"/>
              </w:rPr>
              <w:t>2</w:t>
            </w:r>
            <w:r>
              <w:rPr>
                <w:szCs w:val="21"/>
              </w:rPr>
              <w:t>.</w:t>
            </w:r>
            <w:r>
              <w:rPr>
                <w:rFonts w:hint="eastAsia"/>
                <w:szCs w:val="21"/>
              </w:rPr>
              <w:t>假山叠石的搭接未以石材本身的相互嵌合为主，基础有局部塌陷，有明显坐浆痕迹。</w:t>
            </w:r>
          </w:p>
        </w:tc>
        <w:tc>
          <w:tcPr>
            <w:tcW w:w="2409" w:type="dxa"/>
            <w:vMerge w:val="continue"/>
            <w:tcBorders>
              <w:left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小品及其它</w:t>
            </w:r>
          </w:p>
          <w:p>
            <w:pPr>
              <w:pStyle w:val="4"/>
              <w:snapToGrid w:val="0"/>
              <w:spacing w:line="288" w:lineRule="auto"/>
              <w:ind w:firstLine="0" w:firstLineChars="0"/>
              <w:rPr>
                <w:szCs w:val="21"/>
              </w:rPr>
            </w:pPr>
            <w:r>
              <w:rPr>
                <w:rFonts w:hint="eastAsia"/>
                <w:szCs w:val="21"/>
              </w:rPr>
              <w:t>1</w:t>
            </w:r>
            <w:r>
              <w:rPr>
                <w:szCs w:val="21"/>
              </w:rPr>
              <w:t>.</w:t>
            </w:r>
            <w:r>
              <w:rPr>
                <w:rFonts w:hint="eastAsia"/>
                <w:szCs w:val="21"/>
              </w:rPr>
              <w:t>景观小品加工粗糙，安装欠牢固；</w:t>
            </w:r>
          </w:p>
          <w:p>
            <w:pPr>
              <w:pStyle w:val="4"/>
              <w:snapToGrid w:val="0"/>
              <w:spacing w:line="288" w:lineRule="auto"/>
              <w:ind w:firstLine="0" w:firstLineChars="0"/>
              <w:rPr>
                <w:szCs w:val="21"/>
              </w:rPr>
            </w:pPr>
            <w:r>
              <w:rPr>
                <w:rFonts w:hint="eastAsia"/>
                <w:szCs w:val="21"/>
              </w:rPr>
              <w:t>2</w:t>
            </w:r>
            <w:r>
              <w:rPr>
                <w:szCs w:val="21"/>
              </w:rPr>
              <w:t>.</w:t>
            </w:r>
            <w:r>
              <w:rPr>
                <w:rFonts w:hint="eastAsia"/>
                <w:szCs w:val="21"/>
              </w:rPr>
              <w:t>灯具安装方向不统一，有偏斜；油漆喷涂有脱落、划痕、垂直倾斜晃动，与石材、铺装贴合不严密；安装不牢固、有翘边；</w:t>
            </w:r>
          </w:p>
          <w:p>
            <w:pPr>
              <w:pStyle w:val="4"/>
              <w:snapToGrid w:val="0"/>
              <w:spacing w:line="288" w:lineRule="auto"/>
              <w:ind w:firstLine="0" w:firstLineChars="0"/>
              <w:rPr>
                <w:szCs w:val="21"/>
              </w:rPr>
            </w:pPr>
            <w:r>
              <w:rPr>
                <w:rFonts w:hint="eastAsia"/>
                <w:szCs w:val="21"/>
              </w:rPr>
              <w:t>3</w:t>
            </w:r>
            <w:r>
              <w:rPr>
                <w:szCs w:val="21"/>
              </w:rPr>
              <w:t>.</w:t>
            </w:r>
            <w:r>
              <w:rPr>
                <w:rFonts w:hint="eastAsia"/>
                <w:szCs w:val="21"/>
              </w:rPr>
              <w:t>射树灯照射方向不准确，台阶灯照射正对行人方向；</w:t>
            </w:r>
          </w:p>
          <w:p>
            <w:pPr>
              <w:pStyle w:val="4"/>
              <w:snapToGrid w:val="0"/>
              <w:spacing w:line="288" w:lineRule="auto"/>
              <w:ind w:firstLine="0" w:firstLineChars="0"/>
              <w:rPr>
                <w:szCs w:val="21"/>
              </w:rPr>
            </w:pPr>
            <w:r>
              <w:rPr>
                <w:rFonts w:hint="eastAsia"/>
                <w:szCs w:val="21"/>
              </w:rPr>
              <w:t>4</w:t>
            </w:r>
            <w:r>
              <w:rPr>
                <w:szCs w:val="21"/>
              </w:rPr>
              <w:t>.</w:t>
            </w:r>
            <w:r>
              <w:rPr>
                <w:rFonts w:hint="eastAsia"/>
                <w:szCs w:val="21"/>
              </w:rPr>
              <w:t>回水、溢水装置设置不合理，饰面与周围关系不协调；跌水口出水不均匀；水系岸线欠流畅；</w:t>
            </w:r>
          </w:p>
          <w:p>
            <w:pPr>
              <w:pStyle w:val="4"/>
              <w:snapToGrid w:val="0"/>
              <w:spacing w:line="288" w:lineRule="auto"/>
              <w:ind w:firstLine="0" w:firstLineChars="0"/>
              <w:rPr>
                <w:szCs w:val="21"/>
              </w:rPr>
            </w:pPr>
            <w:r>
              <w:rPr>
                <w:rFonts w:hint="eastAsia"/>
                <w:szCs w:val="21"/>
              </w:rPr>
              <w:t>5</w:t>
            </w:r>
            <w:r>
              <w:rPr>
                <w:szCs w:val="21"/>
              </w:rPr>
              <w:t>.</w:t>
            </w:r>
            <w:r>
              <w:rPr>
                <w:rFonts w:hint="eastAsia"/>
                <w:szCs w:val="21"/>
              </w:rPr>
              <w:t>装饰面细节处理不到位。</w:t>
            </w:r>
          </w:p>
        </w:tc>
        <w:tc>
          <w:tcPr>
            <w:tcW w:w="2409" w:type="dxa"/>
            <w:vMerge w:val="continue"/>
            <w:tcBorders>
              <w:left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567" w:type="dxa"/>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line="288" w:lineRule="auto"/>
              <w:ind w:firstLine="0" w:firstLineChars="0"/>
              <w:rPr>
                <w:szCs w:val="21"/>
              </w:rPr>
            </w:pPr>
            <w:r>
              <w:rPr>
                <w:rFonts w:hint="eastAsia"/>
                <w:szCs w:val="21"/>
              </w:rPr>
              <w:t>1</w:t>
            </w:r>
            <w:r>
              <w:rPr>
                <w:szCs w:val="21"/>
              </w:rPr>
              <w:t>.</w:t>
            </w:r>
            <w:r>
              <w:rPr>
                <w:rFonts w:hint="eastAsia"/>
                <w:szCs w:val="21"/>
              </w:rPr>
              <w:t>创新技术、工艺、工法等；</w:t>
            </w:r>
          </w:p>
          <w:p>
            <w:pPr>
              <w:pStyle w:val="4"/>
              <w:snapToGrid w:val="0"/>
              <w:spacing w:line="288" w:lineRule="auto"/>
              <w:ind w:firstLine="0" w:firstLineChars="0"/>
              <w:rPr>
                <w:szCs w:val="21"/>
              </w:rPr>
            </w:pPr>
            <w:r>
              <w:rPr>
                <w:rFonts w:hint="eastAsia"/>
                <w:szCs w:val="21"/>
              </w:rPr>
              <w:t>2</w:t>
            </w:r>
            <w:r>
              <w:rPr>
                <w:szCs w:val="21"/>
              </w:rPr>
              <w:t>.</w:t>
            </w:r>
            <w:r>
              <w:rPr>
                <w:rFonts w:hint="eastAsia"/>
                <w:szCs w:val="21"/>
              </w:rPr>
              <w:t>采用了新材料、新工艺、新技术或有利于环保节能等的材料、技术、措施、工艺、工法等；</w:t>
            </w:r>
          </w:p>
          <w:p>
            <w:pPr>
              <w:pStyle w:val="4"/>
              <w:snapToGrid w:val="0"/>
              <w:spacing w:line="288" w:lineRule="auto"/>
              <w:ind w:firstLine="0" w:firstLineChars="0"/>
              <w:rPr>
                <w:szCs w:val="21"/>
              </w:rPr>
            </w:pPr>
            <w:r>
              <w:rPr>
                <w:rFonts w:hint="eastAsia"/>
                <w:szCs w:val="21"/>
              </w:rPr>
              <w:t>3</w:t>
            </w:r>
            <w:r>
              <w:rPr>
                <w:szCs w:val="21"/>
              </w:rPr>
              <w:t>.</w:t>
            </w:r>
            <w:r>
              <w:rPr>
                <w:rFonts w:hint="eastAsia"/>
                <w:szCs w:val="21"/>
              </w:rPr>
              <w:t>获得了与申报工程相关的发明专利、实用新型专利、省级或以上工艺工法等；</w:t>
            </w:r>
          </w:p>
          <w:p>
            <w:pPr>
              <w:pStyle w:val="4"/>
              <w:snapToGrid w:val="0"/>
              <w:spacing w:line="288" w:lineRule="auto"/>
              <w:ind w:firstLine="0" w:firstLineChars="0"/>
              <w:rPr>
                <w:szCs w:val="21"/>
              </w:rPr>
            </w:pPr>
            <w:r>
              <w:rPr>
                <w:rFonts w:hint="eastAsia"/>
                <w:szCs w:val="21"/>
              </w:rPr>
              <w:t>4</w:t>
            </w:r>
            <w:r>
              <w:rPr>
                <w:szCs w:val="21"/>
              </w:rPr>
              <w:t>.</w:t>
            </w:r>
            <w:r>
              <w:rPr>
                <w:rFonts w:hint="eastAsia"/>
                <w:szCs w:val="21"/>
              </w:rPr>
              <w:t>本工程已获得中装协建筑装饰行业科学技术奖。</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缺少其中内容，扣0.5-3分。</w:t>
            </w:r>
          </w:p>
        </w:tc>
        <w:tc>
          <w:tcPr>
            <w:tcW w:w="170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85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查：工程实体、图纸、证书、质量管理与技术资料等。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7</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szCs w:val="21"/>
              </w:rPr>
            </w:pPr>
            <w:r>
              <w:rPr>
                <w:rFonts w:hint="eastAsia"/>
                <w:szCs w:val="21"/>
              </w:rPr>
              <w:t>1</w:t>
            </w:r>
            <w:r>
              <w:rPr>
                <w:szCs w:val="21"/>
              </w:rPr>
              <w:t>.</w:t>
            </w:r>
            <w:r>
              <w:rPr>
                <w:rFonts w:hint="eastAsia"/>
                <w:szCs w:val="21"/>
              </w:rPr>
              <w:t>组织工作准备充分，项目经理或执行经理、技术负责人和资料员等主要相关人员到场，汇报PPT内容重点突出、简单明了；</w:t>
            </w:r>
          </w:p>
          <w:p>
            <w:pPr>
              <w:snapToGrid w:val="0"/>
              <w:spacing w:line="360" w:lineRule="auto"/>
              <w:rPr>
                <w:szCs w:val="21"/>
              </w:rPr>
            </w:pPr>
            <w:r>
              <w:rPr>
                <w:rFonts w:hint="eastAsia"/>
                <w:szCs w:val="21"/>
              </w:rPr>
              <w:t>2</w:t>
            </w:r>
            <w:r>
              <w:rPr>
                <w:szCs w:val="21"/>
              </w:rPr>
              <w:t>.</w:t>
            </w:r>
            <w:r>
              <w:rPr>
                <w:rFonts w:hint="eastAsia"/>
                <w:szCs w:val="21"/>
              </w:rPr>
              <w:t>资料准备充分有序，易于查找；</w:t>
            </w:r>
          </w:p>
          <w:p>
            <w:pPr>
              <w:snapToGrid w:val="0"/>
              <w:spacing w:line="360" w:lineRule="auto"/>
              <w:rPr>
                <w:szCs w:val="21"/>
              </w:rPr>
            </w:pPr>
            <w:r>
              <w:rPr>
                <w:rFonts w:hint="eastAsia"/>
                <w:szCs w:val="21"/>
              </w:rPr>
              <w:t>3</w:t>
            </w:r>
            <w:r>
              <w:rPr>
                <w:szCs w:val="21"/>
              </w:rPr>
              <w:t>.</w:t>
            </w:r>
            <w:r>
              <w:rPr>
                <w:rFonts w:hint="eastAsia"/>
                <w:szCs w:val="21"/>
              </w:rPr>
              <w:t>用户沟通意见；</w:t>
            </w:r>
          </w:p>
          <w:p>
            <w:pPr>
              <w:snapToGrid w:val="0"/>
              <w:spacing w:line="360" w:lineRule="auto"/>
              <w:rPr>
                <w:szCs w:val="21"/>
              </w:rPr>
            </w:pPr>
            <w:r>
              <w:rPr>
                <w:rFonts w:hint="eastAsia"/>
                <w:szCs w:val="21"/>
              </w:rPr>
              <w:t>4</w:t>
            </w:r>
            <w:r>
              <w:rPr>
                <w:szCs w:val="21"/>
              </w:rPr>
              <w:t>.</w:t>
            </w:r>
            <w:r>
              <w:rPr>
                <w:rFonts w:hint="eastAsia"/>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szCs w:val="21"/>
              </w:rPr>
            </w:pPr>
            <w:r>
              <w:rPr>
                <w:rFonts w:hint="eastAsia"/>
                <w:szCs w:val="21"/>
              </w:rPr>
              <w:t>1</w:t>
            </w:r>
            <w:r>
              <w:rPr>
                <w:szCs w:val="21"/>
              </w:rPr>
              <w:t>.</w:t>
            </w:r>
            <w:r>
              <w:rPr>
                <w:rFonts w:hint="eastAsia"/>
                <w:szCs w:val="21"/>
              </w:rPr>
              <w:t>工程施工主要负责人未到场(扣2-5分)；</w:t>
            </w:r>
          </w:p>
          <w:p>
            <w:pPr>
              <w:snapToGrid w:val="0"/>
              <w:spacing w:line="276" w:lineRule="auto"/>
              <w:rPr>
                <w:szCs w:val="21"/>
              </w:rPr>
            </w:pPr>
            <w:r>
              <w:rPr>
                <w:rFonts w:hint="eastAsia"/>
                <w:szCs w:val="21"/>
              </w:rPr>
              <w:t>2</w:t>
            </w:r>
            <w:r>
              <w:rPr>
                <w:szCs w:val="21"/>
              </w:rPr>
              <w:t>.</w:t>
            </w:r>
            <w:r>
              <w:rPr>
                <w:rFonts w:hint="eastAsia"/>
                <w:szCs w:val="21"/>
              </w:rPr>
              <w:t>资料准备无序不齐全(扣1-2分)；</w:t>
            </w:r>
          </w:p>
          <w:p>
            <w:pPr>
              <w:snapToGrid w:val="0"/>
              <w:spacing w:line="276" w:lineRule="auto"/>
              <w:rPr>
                <w:szCs w:val="21"/>
              </w:rPr>
            </w:pPr>
            <w:r>
              <w:rPr>
                <w:rFonts w:hint="eastAsia"/>
                <w:szCs w:val="21"/>
              </w:rPr>
              <w:t>3</w:t>
            </w:r>
            <w:r>
              <w:rPr>
                <w:szCs w:val="21"/>
              </w:rPr>
              <w:t>.</w:t>
            </w:r>
            <w:r>
              <w:rPr>
                <w:rFonts w:hint="eastAsia"/>
                <w:szCs w:val="21"/>
              </w:rPr>
              <w:t>总体印象不佳(扣1-5分)；</w:t>
            </w:r>
          </w:p>
          <w:p>
            <w:pPr>
              <w:snapToGrid w:val="0"/>
              <w:spacing w:line="276" w:lineRule="auto"/>
              <w:rPr>
                <w:szCs w:val="21"/>
              </w:rPr>
            </w:pPr>
            <w:r>
              <w:rPr>
                <w:rFonts w:hint="eastAsia"/>
                <w:szCs w:val="21"/>
              </w:rPr>
              <w:t>4</w:t>
            </w:r>
            <w:r>
              <w:rPr>
                <w:szCs w:val="21"/>
              </w:rPr>
              <w:t>.</w:t>
            </w:r>
            <w:r>
              <w:rPr>
                <w:rFonts w:hint="eastAsia"/>
                <w:szCs w:val="21"/>
              </w:rPr>
              <w:t>其它不规范、不到位情况(每项扣0.5-1分)。</w:t>
            </w: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人员、资料、过程安排准备不足；未做PPT汇报资料等</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line="288" w:lineRule="auto"/>
              <w:ind w:firstLine="0" w:firstLineChars="0"/>
              <w:rPr>
                <w:szCs w:val="21"/>
              </w:rPr>
            </w:pPr>
            <w:r>
              <w:rPr>
                <w:rFonts w:hint="eastAsia"/>
                <w:szCs w:val="21"/>
              </w:rPr>
              <w:t>1</w:t>
            </w:r>
            <w:r>
              <w:rPr>
                <w:szCs w:val="21"/>
              </w:rPr>
              <w:t>.</w:t>
            </w:r>
            <w:r>
              <w:rPr>
                <w:rFonts w:hint="eastAsia"/>
                <w:szCs w:val="21"/>
              </w:rPr>
              <w:t>组织准备情况等；</w:t>
            </w:r>
          </w:p>
          <w:p>
            <w:pPr>
              <w:pStyle w:val="4"/>
              <w:snapToGrid w:val="0"/>
              <w:spacing w:line="288" w:lineRule="auto"/>
              <w:ind w:firstLine="0" w:firstLineChars="0"/>
              <w:rPr>
                <w:szCs w:val="21"/>
              </w:rPr>
            </w:pPr>
            <w:r>
              <w:rPr>
                <w:szCs w:val="21"/>
              </w:rPr>
              <w:t>2.</w:t>
            </w:r>
            <w:r>
              <w:rPr>
                <w:rFonts w:hint="eastAsia"/>
                <w:szCs w:val="21"/>
              </w:rPr>
              <w:t>PPT(项目概况、施工范围、重点难点亮点、施工过程中情况图片等,汇报时间10分钟内)；</w:t>
            </w:r>
          </w:p>
          <w:p>
            <w:pPr>
              <w:pStyle w:val="4"/>
              <w:snapToGrid w:val="0"/>
              <w:spacing w:line="288" w:lineRule="auto"/>
              <w:ind w:firstLine="0" w:firstLineChars="0"/>
              <w:rPr>
                <w:szCs w:val="21"/>
              </w:rPr>
            </w:pPr>
            <w:r>
              <w:rPr>
                <w:szCs w:val="21"/>
              </w:rPr>
              <w:t>3.</w:t>
            </w:r>
            <w:r>
              <w:rPr>
                <w:rFonts w:hint="eastAsia"/>
                <w:szCs w:val="21"/>
              </w:rPr>
              <w:t>用户意见；</w:t>
            </w:r>
          </w:p>
          <w:p>
            <w:pPr>
              <w:pStyle w:val="4"/>
              <w:snapToGrid w:val="0"/>
              <w:spacing w:line="288" w:lineRule="auto"/>
              <w:ind w:firstLine="0" w:firstLineChars="0"/>
              <w:rPr>
                <w:szCs w:val="21"/>
              </w:rPr>
            </w:pPr>
            <w:r>
              <w:rPr>
                <w:rFonts w:hint="eastAsia"/>
                <w:szCs w:val="21"/>
              </w:rPr>
              <w:t>4</w:t>
            </w:r>
            <w:r>
              <w:rPr>
                <w:szCs w:val="21"/>
              </w:rPr>
              <w:t>.</w:t>
            </w:r>
            <w:r>
              <w:rPr>
                <w:rFonts w:hint="eastAsia"/>
                <w:szCs w:val="21"/>
              </w:rPr>
              <w:t>人员、资料、过程安排准备情况；</w:t>
            </w:r>
          </w:p>
          <w:p>
            <w:pPr>
              <w:pStyle w:val="4"/>
              <w:snapToGrid w:val="0"/>
              <w:spacing w:line="288" w:lineRule="auto"/>
              <w:ind w:firstLine="0" w:firstLineChars="0"/>
              <w:rPr>
                <w:szCs w:val="21"/>
              </w:rPr>
            </w:pPr>
            <w:r>
              <w:rPr>
                <w:rFonts w:hint="eastAsia"/>
                <w:szCs w:val="21"/>
              </w:rPr>
              <w:t>5</w:t>
            </w:r>
            <w:r>
              <w:rPr>
                <w:szCs w:val="21"/>
              </w:rPr>
              <w:t>.</w:t>
            </w:r>
            <w:r>
              <w:rPr>
                <w:rFonts w:hint="eastAsia"/>
                <w:szCs w:val="21"/>
              </w:rPr>
              <w:t>纸质汇报资料等。</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19859A"/>
    <w:multiLevelType w:val="singleLevel"/>
    <w:tmpl w:val="491985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06882DD7"/>
    <w:rsid w:val="0688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2024-03-12T10:55:00Z</dcterms:created>
  <dc:creator>李艳</dc:creator>
  <cp:lastModifiedBy>李艳</cp:lastModifiedBy>
  <dcterms:modified xsi:type="dcterms:W3CDTF">2024-03-12T10:55:25Z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32D5173B4E144BD0B9FCEAF099C122A5_11</vt:lpwstr>
  </property>
</Properties>
</file>