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2"/>
        <w:rPr>
          <w:rFonts w:hint="eastAsia" w:ascii="黑体" w:hAnsi="黑体" w:eastAsia="黑体" w:cs="黑体"/>
          <w:sz w:val="32"/>
          <w:szCs w:val="32"/>
          <w:shd w:val="clear" w:color="auto" w:fill="FFFFFF"/>
        </w:rPr>
      </w:pPr>
      <w:bookmarkStart w:id="0" w:name="_Toc25210"/>
      <w:bookmarkStart w:id="7" w:name="_GoBack"/>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5</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1</w:t>
      </w:r>
      <w:bookmarkEnd w:id="0"/>
    </w:p>
    <w:bookmarkEnd w:id="7"/>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中国建筑工程装饰奖工程复查实施细则</w:t>
      </w:r>
    </w:p>
    <w:p>
      <w:pPr>
        <w:snapToGrid w:val="0"/>
        <w:spacing w:line="360" w:lineRule="auto"/>
        <w:jc w:val="center"/>
        <w:rPr>
          <w:rFonts w:eastAsia="黑体"/>
          <w:b/>
          <w:bCs/>
          <w:szCs w:val="28"/>
        </w:rPr>
      </w:pPr>
      <w:r>
        <w:rPr>
          <w:rFonts w:hint="eastAsia" w:ascii="宋体" w:hAnsi="宋体"/>
          <w:spacing w:val="-4"/>
          <w:sz w:val="30"/>
          <w:szCs w:val="30"/>
        </w:rPr>
        <w:t>公共建筑装饰类（城市更新工程）</w:t>
      </w:r>
    </w:p>
    <w:p>
      <w:pPr>
        <w:numPr>
          <w:ilvl w:val="0"/>
          <w:numId w:val="1"/>
        </w:numPr>
        <w:adjustRightInd w:val="0"/>
        <w:snapToGrid w:val="0"/>
        <w:spacing w:line="360" w:lineRule="auto"/>
        <w:ind w:firstLine="480" w:firstLineChars="200"/>
        <w:outlineLvl w:val="1"/>
        <w:rPr>
          <w:rFonts w:hint="eastAsia" w:eastAsia="黑体"/>
          <w:bCs/>
          <w:sz w:val="24"/>
        </w:rPr>
      </w:pPr>
      <w:bookmarkStart w:id="1" w:name="_Toc19795"/>
      <w:r>
        <w:rPr>
          <w:rFonts w:hint="eastAsia" w:eastAsia="黑体"/>
          <w:bCs/>
          <w:sz w:val="24"/>
        </w:rPr>
        <w:t>评分标准及要求：</w:t>
      </w:r>
      <w:bookmarkEnd w:id="1"/>
    </w:p>
    <w:p>
      <w:pPr>
        <w:adjustRightInd w:val="0"/>
        <w:snapToGrid w:val="0"/>
        <w:spacing w:line="360" w:lineRule="auto"/>
        <w:ind w:firstLine="480" w:firstLineChars="200"/>
        <w:rPr>
          <w:rFonts w:hint="eastAsia"/>
          <w:sz w:val="24"/>
        </w:rPr>
      </w:pPr>
      <w:r>
        <w:rPr>
          <w:rFonts w:hint="eastAsia"/>
          <w:sz w:val="24"/>
        </w:rPr>
        <w:t>城市更新工程（不含并列承建）：工程合同金额或结算金额不低于1000万元人民币（不含设备购置和安装费用，仅包含外墙涂饰、地面铺装等单项内容的工程不在评选范围内）。</w:t>
      </w:r>
    </w:p>
    <w:p>
      <w:pPr>
        <w:adjustRightInd w:val="0"/>
        <w:snapToGrid w:val="0"/>
        <w:spacing w:line="360" w:lineRule="auto"/>
        <w:ind w:firstLine="480" w:firstLineChars="200"/>
        <w:rPr>
          <w:sz w:val="24"/>
        </w:rPr>
      </w:pPr>
      <w:r>
        <w:rPr>
          <w:rFonts w:hint="eastAsia"/>
          <w:sz w:val="24"/>
        </w:rPr>
        <w:t>鉴于复查项目的工程性质、类别、规模、使用的材料、采用的工艺等各方面差别较大，故复查工程的评分采用扣分法，本细则重点列出了在资料、室外装饰工程、外门窗工程、吊顶工程、内墙柱面工程、地面工程、新技术、总体印象等几个方面的常见问题、质量通病和涉及安全与使用的问题，结合复查中查出的问题进行评分。项目复查总分为100分，建议推荐得分在80分以上的项目，详细分项和评分标准见《工程复查实施细则——公共建筑装饰类（城市更新工程）》。</w:t>
      </w:r>
    </w:p>
    <w:p>
      <w:pPr>
        <w:adjustRightInd w:val="0"/>
        <w:snapToGrid w:val="0"/>
        <w:spacing w:line="360" w:lineRule="auto"/>
        <w:ind w:firstLine="480" w:firstLineChars="200"/>
        <w:rPr>
          <w:sz w:val="24"/>
        </w:rPr>
      </w:pPr>
      <w:r>
        <w:rPr>
          <w:rFonts w:hint="eastAsia"/>
          <w:sz w:val="24"/>
        </w:rPr>
        <w:t>《工程复查实施细则——公共建筑装饰类（城市更新工程）》中所列均为工程复查的必查和主查内容，各复查小组可根据项目实际情况做必要的补充和调整，但必查内容不可取消。复查评分严格按照各项要求及分值进行复查评分，并将各大项评分记录在申报表工程复查表中。</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企业申报前对涉及安全、结构、隐蔽资料等方面的情况进行自查，使其符合相应的国家强制性规范和标准以及装饰奖复查的要求。</w:t>
      </w:r>
    </w:p>
    <w:p>
      <w:pPr>
        <w:adjustRightInd w:val="0"/>
        <w:snapToGrid w:val="0"/>
        <w:spacing w:line="360" w:lineRule="auto"/>
        <w:ind w:firstLine="480" w:firstLineChars="200"/>
        <w:outlineLvl w:val="1"/>
        <w:rPr>
          <w:rFonts w:ascii="黑体" w:hAnsi="黑体" w:eastAsia="黑体"/>
          <w:sz w:val="24"/>
        </w:rPr>
      </w:pPr>
      <w:bookmarkStart w:id="2" w:name="_Toc11923"/>
      <w:r>
        <w:rPr>
          <w:rFonts w:hint="eastAsia" w:ascii="黑体" w:hAnsi="黑体" w:eastAsia="黑体"/>
          <w:sz w:val="24"/>
        </w:rPr>
        <w:t>二、申报项目的主要范围和复查重点</w:t>
      </w:r>
      <w:bookmarkEnd w:id="2"/>
    </w:p>
    <w:p>
      <w:pPr>
        <w:adjustRightInd w:val="0"/>
        <w:snapToGrid w:val="0"/>
        <w:spacing w:line="360" w:lineRule="auto"/>
        <w:ind w:firstLine="480" w:firstLineChars="200"/>
        <w:rPr>
          <w:sz w:val="24"/>
        </w:rPr>
      </w:pPr>
      <w:r>
        <w:rPr>
          <w:rFonts w:hint="eastAsia"/>
          <w:sz w:val="24"/>
        </w:rPr>
        <w:t>城市更新工程主要</w:t>
      </w:r>
      <w:r>
        <w:rPr>
          <w:rFonts w:hint="eastAsia"/>
          <w:bCs/>
          <w:sz w:val="24"/>
        </w:rPr>
        <w:t>包括老旧街区（含历史文化街区）、老旧小区、老旧厂区、文旅小镇等的提升改造装饰项目（仅包含外墙涂饰、地面铺装等单项内容的工程不在评选范围内）</w:t>
      </w:r>
      <w:r>
        <w:rPr>
          <w:rFonts w:hint="eastAsia"/>
          <w:sz w:val="24"/>
        </w:rPr>
        <w:t>。工程应有相关部门施工许可文件、施工过程文件、竣工验收或备案文件等。城市更新装饰工程的复查重点是建筑物、楼宇改造外立面装饰、改造性功能提升，景观设计创意、周边环境整治与配套、环保、节能和运用新技术等方面要求。</w:t>
      </w:r>
    </w:p>
    <w:p>
      <w:pPr>
        <w:adjustRightInd w:val="0"/>
        <w:snapToGrid w:val="0"/>
        <w:spacing w:line="360" w:lineRule="auto"/>
        <w:ind w:firstLine="480" w:firstLineChars="200"/>
        <w:outlineLvl w:val="1"/>
        <w:rPr>
          <w:rFonts w:eastAsia="黑体"/>
          <w:bCs/>
          <w:sz w:val="24"/>
        </w:rPr>
      </w:pPr>
      <w:bookmarkStart w:id="3" w:name="_Toc14497"/>
      <w:r>
        <w:rPr>
          <w:rFonts w:hint="eastAsia" w:eastAsia="黑体"/>
          <w:bCs/>
          <w:sz w:val="24"/>
        </w:rPr>
        <w:t>三、主要执行规范和标准：</w:t>
      </w:r>
      <w:bookmarkEnd w:id="3"/>
    </w:p>
    <w:p>
      <w:pPr>
        <w:adjustRightInd w:val="0"/>
        <w:snapToGrid w:val="0"/>
        <w:spacing w:line="360" w:lineRule="auto"/>
        <w:ind w:firstLine="480" w:firstLineChars="200"/>
        <w:rPr>
          <w:sz w:val="24"/>
        </w:rPr>
      </w:pPr>
      <w:r>
        <w:rPr>
          <w:rFonts w:hint="eastAsia"/>
          <w:sz w:val="24"/>
        </w:rPr>
        <w:t>1</w:t>
      </w:r>
      <w:r>
        <w:rPr>
          <w:sz w:val="24"/>
        </w:rPr>
        <w:t>.</w:t>
      </w:r>
      <w:r>
        <w:rPr>
          <w:rFonts w:hint="eastAsia"/>
          <w:sz w:val="24"/>
        </w:rPr>
        <w:t>《铝合金门窗》GB/T8478-2020</w:t>
      </w:r>
    </w:p>
    <w:p>
      <w:pPr>
        <w:adjustRightInd w:val="0"/>
        <w:snapToGrid w:val="0"/>
        <w:spacing w:line="360" w:lineRule="auto"/>
        <w:ind w:firstLine="480" w:firstLineChars="200"/>
        <w:rPr>
          <w:sz w:val="24"/>
        </w:rPr>
      </w:pPr>
      <w:r>
        <w:rPr>
          <w:rFonts w:hint="eastAsia"/>
          <w:sz w:val="24"/>
        </w:rPr>
        <w:t>2</w:t>
      </w:r>
      <w:r>
        <w:rPr>
          <w:sz w:val="24"/>
        </w:rPr>
        <w:t>.</w:t>
      </w:r>
      <w:r>
        <w:rPr>
          <w:rFonts w:hint="eastAsia"/>
          <w:sz w:val="24"/>
        </w:rPr>
        <w:t>《既有建筑维护与改造通用规范》GB50022-2021</w:t>
      </w:r>
    </w:p>
    <w:p>
      <w:pPr>
        <w:adjustRightInd w:val="0"/>
        <w:snapToGrid w:val="0"/>
        <w:spacing w:line="360" w:lineRule="auto"/>
        <w:ind w:firstLine="480" w:firstLineChars="200"/>
        <w:rPr>
          <w:sz w:val="24"/>
        </w:rPr>
      </w:pPr>
      <w:r>
        <w:rPr>
          <w:rFonts w:hint="eastAsia"/>
          <w:sz w:val="24"/>
        </w:rPr>
        <w:t>3</w:t>
      </w:r>
      <w:r>
        <w:rPr>
          <w:sz w:val="24"/>
        </w:rPr>
        <w:t>.</w:t>
      </w:r>
      <w:r>
        <w:rPr>
          <w:rFonts w:hint="eastAsia"/>
          <w:sz w:val="24"/>
        </w:rPr>
        <w:t>《屋面工程质量验收规范》G</w:t>
      </w:r>
      <w:r>
        <w:rPr>
          <w:sz w:val="24"/>
        </w:rPr>
        <w:t>B50207-2012</w:t>
      </w:r>
    </w:p>
    <w:p>
      <w:pPr>
        <w:adjustRightInd w:val="0"/>
        <w:snapToGrid w:val="0"/>
        <w:spacing w:line="360" w:lineRule="auto"/>
        <w:ind w:firstLine="480" w:firstLineChars="200"/>
        <w:rPr>
          <w:sz w:val="24"/>
        </w:rPr>
      </w:pPr>
      <w:r>
        <w:rPr>
          <w:rFonts w:hint="eastAsia"/>
          <w:sz w:val="24"/>
        </w:rPr>
        <w:t>4</w:t>
      </w:r>
      <w:r>
        <w:rPr>
          <w:sz w:val="24"/>
        </w:rPr>
        <w:t>.</w:t>
      </w:r>
      <w:r>
        <w:rPr>
          <w:rFonts w:hint="eastAsia"/>
          <w:sz w:val="24"/>
        </w:rPr>
        <w:t>《建筑防腐蚀工程施工规范》GB50212-2014</w:t>
      </w:r>
    </w:p>
    <w:p>
      <w:pPr>
        <w:adjustRightInd w:val="0"/>
        <w:snapToGrid w:val="0"/>
        <w:spacing w:line="360" w:lineRule="auto"/>
        <w:ind w:firstLine="480" w:firstLineChars="200"/>
        <w:rPr>
          <w:sz w:val="24"/>
        </w:rPr>
      </w:pPr>
      <w:r>
        <w:rPr>
          <w:rFonts w:hint="eastAsia"/>
          <w:sz w:val="24"/>
        </w:rPr>
        <w:t>5</w:t>
      </w:r>
      <w:r>
        <w:rPr>
          <w:sz w:val="24"/>
        </w:rPr>
        <w:t>.</w:t>
      </w:r>
      <w:r>
        <w:rPr>
          <w:rFonts w:hint="eastAsia"/>
          <w:sz w:val="24"/>
        </w:rPr>
        <w:t>《建筑防腐蚀工程施工质量验收规范》GB50224-2010</w:t>
      </w:r>
    </w:p>
    <w:p>
      <w:pPr>
        <w:adjustRightInd w:val="0"/>
        <w:snapToGrid w:val="0"/>
        <w:spacing w:line="360" w:lineRule="auto"/>
        <w:ind w:firstLine="480" w:firstLineChars="200"/>
        <w:rPr>
          <w:sz w:val="24"/>
        </w:rPr>
      </w:pPr>
      <w:r>
        <w:rPr>
          <w:rFonts w:hint="eastAsia"/>
          <w:sz w:val="24"/>
        </w:rPr>
        <w:t>6</w:t>
      </w:r>
      <w:r>
        <w:rPr>
          <w:sz w:val="24"/>
        </w:rPr>
        <w:t>.</w:t>
      </w:r>
      <w:r>
        <w:rPr>
          <w:rFonts w:hint="eastAsia"/>
          <w:sz w:val="24"/>
        </w:rPr>
        <w:t>《智能建筑工程质量验收规范》GB50339-2013</w:t>
      </w:r>
    </w:p>
    <w:p>
      <w:pPr>
        <w:adjustRightInd w:val="0"/>
        <w:snapToGrid w:val="0"/>
        <w:spacing w:line="360" w:lineRule="auto"/>
        <w:ind w:firstLine="480" w:firstLineChars="200"/>
        <w:rPr>
          <w:sz w:val="24"/>
        </w:rPr>
      </w:pPr>
      <w:r>
        <w:rPr>
          <w:rFonts w:hint="eastAsia"/>
          <w:sz w:val="24"/>
        </w:rPr>
        <w:t>7</w:t>
      </w:r>
      <w:r>
        <w:rPr>
          <w:sz w:val="24"/>
        </w:rPr>
        <w:t>.</w:t>
      </w:r>
      <w:r>
        <w:rPr>
          <w:rFonts w:hint="eastAsia"/>
          <w:sz w:val="24"/>
        </w:rPr>
        <w:t>《屋面工程技术规范》GB/T50345-2012</w:t>
      </w:r>
    </w:p>
    <w:p>
      <w:pPr>
        <w:adjustRightInd w:val="0"/>
        <w:snapToGrid w:val="0"/>
        <w:spacing w:line="360" w:lineRule="auto"/>
        <w:ind w:firstLine="480" w:firstLineChars="200"/>
        <w:rPr>
          <w:sz w:val="24"/>
        </w:rPr>
      </w:pPr>
      <w:r>
        <w:rPr>
          <w:rFonts w:hint="eastAsia"/>
          <w:sz w:val="24"/>
        </w:rPr>
        <w:t>8</w:t>
      </w:r>
      <w:r>
        <w:rPr>
          <w:sz w:val="24"/>
        </w:rPr>
        <w:t>.</w:t>
      </w:r>
      <w:r>
        <w:rPr>
          <w:rFonts w:hint="eastAsia"/>
          <w:sz w:val="24"/>
        </w:rPr>
        <w:t>《房屋建筑和市政基础设施工程质量检测技术管理规范》GB50618-2011</w:t>
      </w:r>
    </w:p>
    <w:p>
      <w:pPr>
        <w:adjustRightInd w:val="0"/>
        <w:snapToGrid w:val="0"/>
        <w:spacing w:line="360" w:lineRule="auto"/>
        <w:ind w:firstLine="480" w:firstLineChars="200"/>
        <w:outlineLvl w:val="2"/>
        <w:rPr>
          <w:sz w:val="24"/>
        </w:rPr>
      </w:pPr>
      <w:bookmarkStart w:id="4" w:name="_Toc6009"/>
      <w:r>
        <w:rPr>
          <w:rFonts w:hint="eastAsia"/>
          <w:sz w:val="24"/>
        </w:rPr>
        <w:t>9</w:t>
      </w:r>
      <w:r>
        <w:rPr>
          <w:sz w:val="24"/>
        </w:rPr>
        <w:t>.</w:t>
      </w:r>
      <w:r>
        <w:rPr>
          <w:rFonts w:hint="eastAsia"/>
          <w:sz w:val="24"/>
        </w:rPr>
        <w:t>《既有建筑鉴定与加固通用规范》GB55021-2021</w:t>
      </w:r>
      <w:bookmarkEnd w:id="4"/>
    </w:p>
    <w:p>
      <w:pPr>
        <w:adjustRightInd w:val="0"/>
        <w:snapToGrid w:val="0"/>
        <w:spacing w:line="360" w:lineRule="auto"/>
        <w:ind w:firstLine="480" w:firstLineChars="200"/>
        <w:rPr>
          <w:sz w:val="24"/>
        </w:rPr>
      </w:pPr>
      <w:r>
        <w:rPr>
          <w:rFonts w:hint="eastAsia"/>
          <w:sz w:val="24"/>
        </w:rPr>
        <w:t>1</w:t>
      </w:r>
      <w:r>
        <w:rPr>
          <w:sz w:val="24"/>
        </w:rPr>
        <w:t>0.</w:t>
      </w:r>
      <w:r>
        <w:rPr>
          <w:rFonts w:hint="eastAsia"/>
          <w:sz w:val="24"/>
        </w:rPr>
        <w:t>《严寒和寒冷地区居住建筑节能设计标准》JGJ26-2010</w:t>
      </w:r>
    </w:p>
    <w:p>
      <w:pPr>
        <w:adjustRightInd w:val="0"/>
        <w:snapToGrid w:val="0"/>
        <w:spacing w:line="360" w:lineRule="auto"/>
        <w:ind w:firstLine="480" w:firstLineChars="200"/>
        <w:outlineLvl w:val="2"/>
        <w:rPr>
          <w:sz w:val="24"/>
        </w:rPr>
      </w:pPr>
      <w:bookmarkStart w:id="5" w:name="_Toc12440"/>
      <w:r>
        <w:rPr>
          <w:rFonts w:hint="eastAsia"/>
          <w:sz w:val="24"/>
        </w:rPr>
        <w:t>1</w:t>
      </w:r>
      <w:r>
        <w:rPr>
          <w:sz w:val="24"/>
        </w:rPr>
        <w:t>1.</w:t>
      </w:r>
      <w:r>
        <w:rPr>
          <w:rFonts w:hint="eastAsia"/>
          <w:sz w:val="24"/>
        </w:rPr>
        <w:t>《塑料门窗工程技术规程》JGJ103-2008</w:t>
      </w:r>
      <w:bookmarkEnd w:id="5"/>
    </w:p>
    <w:p>
      <w:pPr>
        <w:adjustRightInd w:val="0"/>
        <w:snapToGrid w:val="0"/>
        <w:spacing w:line="360" w:lineRule="auto"/>
        <w:ind w:firstLine="480" w:firstLineChars="200"/>
        <w:rPr>
          <w:sz w:val="24"/>
        </w:rPr>
      </w:pPr>
      <w:r>
        <w:rPr>
          <w:rFonts w:hint="eastAsia"/>
          <w:sz w:val="24"/>
        </w:rPr>
        <w:t>1</w:t>
      </w:r>
      <w:r>
        <w:rPr>
          <w:sz w:val="24"/>
        </w:rPr>
        <w:t>2.</w:t>
      </w:r>
      <w:r>
        <w:rPr>
          <w:rFonts w:hint="eastAsia"/>
          <w:sz w:val="24"/>
        </w:rPr>
        <w:t>《既有居住建筑节能改造技术规程》JGJ/T129-2012（DB11/381-2016）</w:t>
      </w:r>
    </w:p>
    <w:p>
      <w:pPr>
        <w:adjustRightInd w:val="0"/>
        <w:snapToGrid w:val="0"/>
        <w:spacing w:line="360" w:lineRule="auto"/>
        <w:ind w:firstLine="480" w:firstLineChars="200"/>
        <w:rPr>
          <w:sz w:val="24"/>
        </w:rPr>
      </w:pPr>
      <w:r>
        <w:rPr>
          <w:rFonts w:hint="eastAsia"/>
          <w:sz w:val="24"/>
        </w:rPr>
        <w:t>1</w:t>
      </w:r>
      <w:r>
        <w:rPr>
          <w:sz w:val="24"/>
        </w:rPr>
        <w:t>3.</w:t>
      </w:r>
      <w:r>
        <w:rPr>
          <w:rFonts w:hint="eastAsia"/>
          <w:sz w:val="24"/>
        </w:rPr>
        <w:t>《外墙外保温工程技术规程》JGJ144-2019</w:t>
      </w:r>
    </w:p>
    <w:p>
      <w:pPr>
        <w:adjustRightInd w:val="0"/>
        <w:snapToGrid w:val="0"/>
        <w:spacing w:line="360" w:lineRule="auto"/>
        <w:ind w:firstLine="480" w:firstLineChars="200"/>
        <w:rPr>
          <w:sz w:val="24"/>
        </w:rPr>
      </w:pPr>
      <w:r>
        <w:rPr>
          <w:rFonts w:hint="eastAsia"/>
          <w:sz w:val="24"/>
        </w:rPr>
        <w:t>1</w:t>
      </w:r>
      <w:r>
        <w:rPr>
          <w:sz w:val="24"/>
        </w:rPr>
        <w:t>4.《铝合金门窗工程技术规范》JGJ214-2010</w:t>
      </w:r>
    </w:p>
    <w:p>
      <w:pPr>
        <w:adjustRightInd w:val="0"/>
        <w:snapToGrid w:val="0"/>
        <w:spacing w:line="360" w:lineRule="auto"/>
        <w:ind w:firstLine="480" w:firstLineChars="200"/>
        <w:rPr>
          <w:sz w:val="24"/>
        </w:rPr>
      </w:pPr>
      <w:r>
        <w:rPr>
          <w:rFonts w:hint="eastAsia"/>
          <w:sz w:val="24"/>
        </w:rPr>
        <w:t>1</w:t>
      </w:r>
      <w:r>
        <w:rPr>
          <w:sz w:val="24"/>
        </w:rPr>
        <w:t>5.</w:t>
      </w:r>
      <w:r>
        <w:rPr>
          <w:rFonts w:hint="eastAsia"/>
          <w:sz w:val="24"/>
        </w:rPr>
        <w:t>《外保温防火复合板应用技术规程》JGJ/T350-2015</w:t>
      </w:r>
    </w:p>
    <w:p>
      <w:pPr>
        <w:adjustRightInd w:val="0"/>
        <w:snapToGrid w:val="0"/>
        <w:spacing w:line="360" w:lineRule="auto"/>
        <w:ind w:firstLine="480" w:firstLineChars="200"/>
        <w:rPr>
          <w:sz w:val="24"/>
        </w:rPr>
      </w:pPr>
      <w:r>
        <w:rPr>
          <w:rFonts w:hint="eastAsia"/>
          <w:sz w:val="24"/>
        </w:rPr>
        <w:t>注：上文未列的标准、规范以国家、行业、团体现行标准、规范为准。</w:t>
      </w:r>
    </w:p>
    <w:p>
      <w:pPr>
        <w:adjustRightInd w:val="0"/>
        <w:snapToGrid w:val="0"/>
        <w:spacing w:line="360" w:lineRule="auto"/>
        <w:rPr>
          <w:rFonts w:ascii="黑体" w:hAnsi="黑体" w:eastAsia="黑体"/>
          <w:sz w:val="24"/>
        </w:rPr>
      </w:pPr>
      <w:r>
        <w:rPr>
          <w:rFonts w:hint="eastAsia"/>
          <w:sz w:val="24"/>
        </w:rPr>
        <w:t xml:space="preserve">  </w:t>
      </w:r>
    </w:p>
    <w:p>
      <w:pPr>
        <w:adjustRightInd w:val="0"/>
        <w:snapToGrid w:val="0"/>
        <w:spacing w:line="319" w:lineRule="auto"/>
        <w:rPr>
          <w:sz w:val="24"/>
        </w:rPr>
      </w:pPr>
    </w:p>
    <w:p>
      <w:pPr>
        <w:sectPr>
          <w:pgSz w:w="11906" w:h="16838"/>
          <w:pgMar w:top="1440" w:right="1247" w:bottom="1440" w:left="1587" w:header="851" w:footer="992" w:gutter="0"/>
          <w:pgNumType w:fmt="numberInDash"/>
          <w:cols w:space="720" w:num="1"/>
          <w:docGrid w:type="lines" w:linePitch="312" w:charSpace="0"/>
        </w:sectPr>
      </w:pPr>
    </w:p>
    <w:p>
      <w:pPr>
        <w:jc w:val="center"/>
        <w:outlineLvl w:val="1"/>
        <w:rPr>
          <w:b/>
          <w:bCs/>
          <w:sz w:val="10"/>
          <w:szCs w:val="10"/>
        </w:rPr>
      </w:pPr>
      <w:bookmarkStart w:id="6" w:name="_Toc32312"/>
      <w:r>
        <w:rPr>
          <w:rFonts w:hint="eastAsia" w:ascii="黑体" w:hAnsi="黑体" w:eastAsia="黑体"/>
          <w:b/>
          <w:bCs/>
          <w:sz w:val="30"/>
          <w:szCs w:val="30"/>
        </w:rPr>
        <w:t>四、工程复查实施细则</w:t>
      </w:r>
      <w:r>
        <w:rPr>
          <w:rFonts w:hint="eastAsia" w:ascii="宋体" w:hAnsi="宋体"/>
          <w:bCs/>
          <w:sz w:val="30"/>
          <w:szCs w:val="30"/>
        </w:rPr>
        <w:t>——公共建筑装饰类（城市更新工程）</w:t>
      </w:r>
      <w:bookmarkEnd w:id="6"/>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snapToGrid w:val="0"/>
              <w:spacing w:line="288" w:lineRule="auto"/>
              <w:jc w:val="left"/>
              <w:rPr>
                <w:rFonts w:ascii="宋体" w:hAnsi="宋体"/>
                <w:szCs w:val="21"/>
              </w:rPr>
            </w:pPr>
            <w:r>
              <w:rPr>
                <w:rFonts w:hint="eastAsia" w:ascii="宋体" w:hAnsi="宋体"/>
                <w:szCs w:val="21"/>
              </w:rPr>
              <w:t>1.企业营业执照、资质等级证书、安全生产许可证（此三项上一年度参评的单位可提供在有效期内的加盖本单位公章的复印件）；</w:t>
            </w:r>
          </w:p>
          <w:p>
            <w:pPr>
              <w:snapToGrid w:val="0"/>
              <w:spacing w:line="288" w:lineRule="auto"/>
              <w:jc w:val="left"/>
              <w:rPr>
                <w:rFonts w:ascii="宋体" w:hAnsi="宋体"/>
                <w:szCs w:val="21"/>
              </w:rPr>
            </w:pPr>
            <w:r>
              <w:rPr>
                <w:rFonts w:ascii="宋体" w:hAnsi="宋体"/>
                <w:szCs w:val="21"/>
              </w:rPr>
              <w:t>2.</w:t>
            </w:r>
            <w:r>
              <w:rPr>
                <w:rFonts w:hint="eastAsia" w:ascii="宋体" w:hAnsi="宋体"/>
                <w:szCs w:val="21"/>
              </w:rPr>
              <w:t>项目经理注册建造师证书、安全生产考核合格证书；</w:t>
            </w:r>
          </w:p>
          <w:p>
            <w:pPr>
              <w:snapToGrid w:val="0"/>
              <w:spacing w:line="288" w:lineRule="auto"/>
              <w:jc w:val="left"/>
              <w:rPr>
                <w:rFonts w:ascii="宋体" w:hAnsi="宋体"/>
                <w:szCs w:val="21"/>
              </w:rPr>
            </w:pPr>
            <w:r>
              <w:rPr>
                <w:rFonts w:ascii="宋体" w:hAnsi="宋体"/>
                <w:szCs w:val="21"/>
              </w:rPr>
              <w:t>3.</w:t>
            </w:r>
            <w:r>
              <w:rPr>
                <w:rFonts w:hint="eastAsia" w:ascii="宋体" w:hAnsi="宋体"/>
                <w:szCs w:val="21"/>
              </w:rPr>
              <w:t>工程施工许可文件；</w:t>
            </w:r>
          </w:p>
          <w:p>
            <w:pPr>
              <w:snapToGrid w:val="0"/>
              <w:spacing w:line="288" w:lineRule="auto"/>
              <w:jc w:val="left"/>
              <w:rPr>
                <w:rFonts w:ascii="宋体" w:hAnsi="宋体"/>
                <w:szCs w:val="21"/>
              </w:rPr>
            </w:pPr>
            <w:r>
              <w:rPr>
                <w:rFonts w:ascii="宋体" w:hAnsi="宋体"/>
                <w:szCs w:val="21"/>
              </w:rPr>
              <w:t>4.</w:t>
            </w:r>
            <w:r>
              <w:rPr>
                <w:rFonts w:hint="eastAsia" w:ascii="宋体" w:hAnsi="宋体"/>
                <w:szCs w:val="21"/>
              </w:rPr>
              <w:t>施工合同；</w:t>
            </w:r>
          </w:p>
          <w:p>
            <w:pPr>
              <w:snapToGrid w:val="0"/>
              <w:spacing w:line="288" w:lineRule="auto"/>
              <w:jc w:val="left"/>
              <w:rPr>
                <w:rFonts w:ascii="宋体" w:hAnsi="宋体"/>
                <w:szCs w:val="21"/>
              </w:rPr>
            </w:pPr>
            <w:r>
              <w:rPr>
                <w:rFonts w:hint="eastAsia" w:ascii="宋体" w:hAnsi="宋体"/>
                <w:szCs w:val="21"/>
              </w:rPr>
              <w:t>5.工程结算报告或结算金额证明；</w:t>
            </w:r>
          </w:p>
          <w:p>
            <w:pPr>
              <w:snapToGrid w:val="0"/>
              <w:spacing w:line="288" w:lineRule="auto"/>
              <w:jc w:val="left"/>
              <w:rPr>
                <w:rFonts w:hint="eastAsia" w:ascii="宋体" w:hAnsi="宋体"/>
                <w:szCs w:val="21"/>
              </w:rPr>
            </w:pPr>
            <w:r>
              <w:rPr>
                <w:rFonts w:ascii="宋体" w:hAnsi="宋体"/>
                <w:szCs w:val="21"/>
              </w:rPr>
              <w:t>6.</w:t>
            </w:r>
            <w:r>
              <w:rPr>
                <w:rFonts w:hint="eastAsia" w:ascii="宋体" w:hAnsi="宋体"/>
                <w:szCs w:val="21"/>
              </w:rPr>
              <w:t>工程竣工验收文件。</w:t>
            </w:r>
          </w:p>
        </w:tc>
        <w:tc>
          <w:tcPr>
            <w:tcW w:w="2409" w:type="dxa"/>
            <w:tcBorders>
              <w:top w:val="single" w:color="auto" w:sz="4" w:space="0"/>
              <w:left w:val="single" w:color="auto" w:sz="4" w:space="0"/>
              <w:right w:val="single" w:color="auto" w:sz="4" w:space="0"/>
            </w:tcBorders>
            <w:noWrap w:val="0"/>
            <w:vAlign w:val="center"/>
          </w:tcPr>
          <w:p>
            <w:pPr>
              <w:pStyle w:val="4"/>
              <w:snapToGrid w:val="0"/>
              <w:spacing w:line="288" w:lineRule="auto"/>
              <w:ind w:firstLine="0" w:firstLineChars="0"/>
              <w:jc w:val="left"/>
              <w:rPr>
                <w:rFonts w:hint="eastAsia" w:ascii="宋体" w:hAnsi="宋体"/>
                <w:szCs w:val="21"/>
              </w:rPr>
            </w:pPr>
            <w:r>
              <w:rPr>
                <w:rFonts w:hint="eastAsia" w:ascii="宋体" w:hAnsi="宋体"/>
                <w:szCs w:val="21"/>
              </w:rPr>
              <w:t>1.必要文件有一项不合格或不符合要求者不予评审。</w:t>
            </w:r>
          </w:p>
        </w:tc>
        <w:tc>
          <w:tcPr>
            <w:tcW w:w="170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pPr>
              <w:snapToGrid w:val="0"/>
              <w:spacing w:line="288" w:lineRule="auto"/>
              <w:jc w:val="left"/>
              <w:rPr>
                <w:rFonts w:ascii="宋体" w:hAnsi="宋体"/>
                <w:szCs w:val="21"/>
              </w:rPr>
            </w:pPr>
            <w:r>
              <w:rPr>
                <w:rFonts w:hint="eastAsia" w:ascii="宋体" w:hAnsi="宋体"/>
                <w:szCs w:val="21"/>
              </w:rPr>
              <w:t>2.涉及工程质量安全、强条项的内容为必查项；</w:t>
            </w:r>
          </w:p>
          <w:p>
            <w:pPr>
              <w:pStyle w:val="4"/>
              <w:snapToGrid w:val="0"/>
              <w:spacing w:line="276" w:lineRule="auto"/>
              <w:ind w:firstLine="0" w:firstLineChars="0"/>
              <w:rPr>
                <w:rFonts w:ascii="宋体" w:hAnsi="宋体"/>
                <w:szCs w:val="21"/>
              </w:rPr>
            </w:pPr>
            <w:r>
              <w:rPr>
                <w:rFonts w:hint="eastAsia" w:ascii="宋体" w:hAnsi="宋体"/>
                <w:szCs w:val="21"/>
              </w:rPr>
              <w:t>3.涉及使用功能的内容为必查项。室内环境质量检测验收报告，需由政府行政部门认可的检测机构出具（如涉及室内装饰工程）；</w:t>
            </w:r>
          </w:p>
          <w:p>
            <w:pPr>
              <w:pStyle w:val="4"/>
              <w:snapToGrid w:val="0"/>
              <w:spacing w:line="276" w:lineRule="auto"/>
              <w:ind w:firstLine="0" w:firstLineChars="0"/>
              <w:rPr>
                <w:rFonts w:ascii="宋体" w:hAnsi="宋体"/>
                <w:szCs w:val="21"/>
              </w:rPr>
            </w:pPr>
            <w:r>
              <w:rPr>
                <w:rFonts w:hint="eastAsia" w:ascii="宋体" w:hAnsi="宋体"/>
                <w:szCs w:val="21"/>
              </w:rPr>
              <w:t>4.无障碍设施验收报告（如涉及）；</w:t>
            </w:r>
          </w:p>
          <w:p>
            <w:pPr>
              <w:snapToGrid w:val="0"/>
              <w:spacing w:line="288" w:lineRule="auto"/>
              <w:jc w:val="left"/>
              <w:rPr>
                <w:rFonts w:ascii="宋体" w:hAnsi="宋体"/>
                <w:szCs w:val="21"/>
              </w:rPr>
            </w:pPr>
            <w:r>
              <w:rPr>
                <w:rFonts w:ascii="宋体" w:hAnsi="宋体"/>
                <w:szCs w:val="21"/>
              </w:rPr>
              <w:t>5.</w:t>
            </w:r>
            <w:r>
              <w:rPr>
                <w:rFonts w:hint="eastAsia" w:ascii="宋体" w:hAnsi="宋体"/>
                <w:szCs w:val="21"/>
              </w:rPr>
              <w:t>消防验收或备案文件（如涉及）。</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bCs/>
                <w:szCs w:val="21"/>
              </w:rPr>
            </w:pPr>
            <w:r>
              <w:rPr>
                <w:rFonts w:hint="eastAsia" w:ascii="黑体" w:hAnsi="黑体" w:eastAsia="黑体"/>
                <w:bCs/>
                <w:szCs w:val="21"/>
              </w:rPr>
              <w:t>工程安全证明资料：</w:t>
            </w:r>
          </w:p>
          <w:p>
            <w:pPr>
              <w:snapToGrid w:val="0"/>
              <w:spacing w:line="276" w:lineRule="auto"/>
              <w:rPr>
                <w:szCs w:val="21"/>
              </w:rPr>
            </w:pPr>
            <w:r>
              <w:rPr>
                <w:rFonts w:hint="eastAsia"/>
                <w:szCs w:val="21"/>
              </w:rPr>
              <w:t>1.涉及主体和承重结构改动或增加荷载时，必须具有经原结构设计单位或具备相应资质设计单位的认可文件（需审查原件）；</w:t>
            </w:r>
          </w:p>
          <w:p>
            <w:pPr>
              <w:snapToGrid w:val="0"/>
              <w:spacing w:line="276" w:lineRule="auto"/>
              <w:rPr>
                <w:szCs w:val="21"/>
              </w:rPr>
            </w:pPr>
            <w:r>
              <w:rPr>
                <w:szCs w:val="21"/>
              </w:rPr>
              <w:t>2.</w:t>
            </w:r>
            <w:r>
              <w:rPr>
                <w:rFonts w:hint="eastAsia"/>
                <w:szCs w:val="21"/>
              </w:rPr>
              <w:t>大型吊灯安装的过载试验和相关隐蔽资料、构架节点图；</w:t>
            </w:r>
          </w:p>
          <w:p>
            <w:pPr>
              <w:snapToGrid w:val="0"/>
              <w:spacing w:line="276" w:lineRule="auto"/>
              <w:rPr>
                <w:rFonts w:hint="eastAsia"/>
                <w:szCs w:val="21"/>
              </w:rPr>
            </w:pPr>
            <w:r>
              <w:rPr>
                <w:szCs w:val="21"/>
              </w:rPr>
              <w:t>3.</w:t>
            </w:r>
            <w:r>
              <w:rPr>
                <w:rFonts w:hint="eastAsia"/>
                <w:szCs w:val="21"/>
              </w:rPr>
              <w:t>石材、瓷砖等墙柱面干挂节点图、拉拔试验报告及其材料合格证、检测报告、隐蔽验收记录等；</w:t>
            </w:r>
          </w:p>
        </w:tc>
        <w:tc>
          <w:tcPr>
            <w:tcW w:w="2409" w:type="dxa"/>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每项不符合扣5-</w:t>
            </w:r>
            <w:r>
              <w:rPr>
                <w:rFonts w:ascii="宋体" w:hAnsi="宋体"/>
                <w:szCs w:val="21"/>
              </w:rPr>
              <w:t>10</w:t>
            </w:r>
            <w:r>
              <w:rPr>
                <w:rFonts w:hint="eastAsia" w:ascii="宋体" w:hAnsi="宋体"/>
                <w:szCs w:val="21"/>
              </w:rPr>
              <w:t>分</w:t>
            </w: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bCs/>
                <w:szCs w:val="21"/>
              </w:rPr>
            </w:pPr>
            <w:r>
              <w:rPr>
                <w:rFonts w:hint="eastAsia" w:ascii="黑体" w:hAnsi="黑体" w:eastAsia="黑体"/>
                <w:bCs/>
                <w:szCs w:val="21"/>
              </w:rPr>
              <w:t>隐检记录</w:t>
            </w:r>
          </w:p>
          <w:p>
            <w:pPr>
              <w:pStyle w:val="4"/>
              <w:snapToGrid w:val="0"/>
              <w:spacing w:line="276" w:lineRule="auto"/>
              <w:ind w:firstLine="0" w:firstLineChars="0"/>
              <w:rPr>
                <w:rFonts w:ascii="宋体" w:hAnsi="宋体"/>
                <w:bCs/>
                <w:szCs w:val="21"/>
              </w:rPr>
            </w:pPr>
            <w:r>
              <w:rPr>
                <w:rFonts w:hint="eastAsia" w:ascii="宋体" w:hAnsi="宋体"/>
                <w:bCs/>
                <w:szCs w:val="21"/>
              </w:rPr>
              <w:t>1.地面、吊顶、轻质隔墙、饰面板、细部、墙面或地面的变形缝以及装饰工程中承重结构隐检；</w:t>
            </w:r>
          </w:p>
          <w:p>
            <w:pPr>
              <w:pStyle w:val="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防水、水电、设备等隐检；</w:t>
            </w:r>
          </w:p>
          <w:p>
            <w:pPr>
              <w:pStyle w:val="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保温工程的基层处理、粘贴保温板（铺设、厚度）、局部构造处理（机械固定件连接点、加强部位的防裂措施、胶粘剂的涂胶面积、厚度、变形缝节点构造等）；首层和其它层的抹面施工等隐检不全（外贴砌和外挂板系统，执行相应的规范要求）。</w:t>
            </w:r>
          </w:p>
          <w:p>
            <w:pPr>
              <w:pStyle w:val="4"/>
              <w:snapToGrid w:val="0"/>
              <w:spacing w:line="276" w:lineRule="auto"/>
              <w:ind w:firstLine="0" w:firstLineChars="0"/>
              <w:rPr>
                <w:rFonts w:ascii="宋体" w:hAnsi="宋体"/>
                <w:bCs/>
                <w:szCs w:val="21"/>
              </w:rPr>
            </w:pPr>
            <w:r>
              <w:rPr>
                <w:rFonts w:hint="eastAsia" w:ascii="宋体" w:hAnsi="宋体"/>
                <w:bCs/>
                <w:szCs w:val="21"/>
              </w:rPr>
              <w:t>注：隐蔽资料含工程施工过程照片，尤其是涉及安全方面的需要有影像资料。</w:t>
            </w:r>
          </w:p>
        </w:tc>
        <w:tc>
          <w:tcPr>
            <w:tcW w:w="2409" w:type="dxa"/>
            <w:vMerge w:val="restart"/>
            <w:tcBorders>
              <w:left w:val="single" w:color="auto" w:sz="4" w:space="0"/>
              <w:right w:val="single" w:color="auto" w:sz="4" w:space="0"/>
            </w:tcBorders>
            <w:noWrap w:val="0"/>
            <w:vAlign w:val="center"/>
          </w:tcPr>
          <w:p>
            <w:pPr>
              <w:pStyle w:val="4"/>
              <w:snapToGrid w:val="0"/>
              <w:spacing w:line="276" w:lineRule="auto"/>
              <w:ind w:firstLine="0" w:firstLineChars="0"/>
              <w:rPr>
                <w:rFonts w:ascii="宋体" w:hAnsi="宋体"/>
                <w:szCs w:val="21"/>
              </w:rPr>
            </w:pPr>
            <w:r>
              <w:rPr>
                <w:rFonts w:hint="eastAsia" w:ascii="宋体" w:hAnsi="宋体"/>
                <w:szCs w:val="21"/>
              </w:rPr>
              <w:t>1.装饰装修分值按公共建筑装饰类执行；</w:t>
            </w:r>
          </w:p>
          <w:p>
            <w:pPr>
              <w:pStyle w:val="4"/>
              <w:snapToGrid w:val="0"/>
              <w:spacing w:line="276" w:lineRule="auto"/>
              <w:ind w:firstLine="0" w:firstLineChars="0"/>
              <w:rPr>
                <w:rFonts w:ascii="宋体" w:hAnsi="宋体"/>
                <w:szCs w:val="21"/>
              </w:rPr>
            </w:pPr>
            <w:r>
              <w:rPr>
                <w:rFonts w:ascii="宋体" w:hAnsi="宋体"/>
                <w:szCs w:val="21"/>
              </w:rPr>
              <w:t>2.</w:t>
            </w:r>
            <w:r>
              <w:rPr>
                <w:rFonts w:hint="eastAsia" w:ascii="宋体" w:hAnsi="宋体"/>
                <w:szCs w:val="21"/>
              </w:rPr>
              <w:t>其它不符合每项扣0.5-2分。</w:t>
            </w: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bCs/>
                <w:szCs w:val="21"/>
              </w:rPr>
            </w:pPr>
            <w:r>
              <w:rPr>
                <w:rFonts w:hint="eastAsia" w:ascii="黑体" w:hAnsi="黑体" w:eastAsia="黑体"/>
                <w:bCs/>
                <w:szCs w:val="21"/>
              </w:rPr>
              <w:t>其它资料</w:t>
            </w:r>
          </w:p>
          <w:p>
            <w:pPr>
              <w:pStyle w:val="4"/>
              <w:snapToGrid w:val="0"/>
              <w:spacing w:line="276" w:lineRule="auto"/>
              <w:ind w:firstLine="0" w:firstLineChars="0"/>
              <w:rPr>
                <w:rFonts w:ascii="宋体" w:hAnsi="宋体"/>
                <w:bCs/>
                <w:szCs w:val="21"/>
              </w:rPr>
            </w:pPr>
            <w:r>
              <w:rPr>
                <w:rFonts w:hint="eastAsia" w:ascii="宋体" w:hAnsi="宋体"/>
                <w:bCs/>
                <w:szCs w:val="21"/>
              </w:rPr>
              <w:t>1.保温材料、防水材料、主要装饰材料的合格证、检测报告及复试报告；</w:t>
            </w:r>
          </w:p>
          <w:p>
            <w:pPr>
              <w:pStyle w:val="4"/>
              <w:snapToGrid w:val="0"/>
              <w:spacing w:line="276" w:lineRule="auto"/>
              <w:ind w:firstLine="0" w:firstLineChars="0"/>
              <w:rPr>
                <w:rFonts w:ascii="宋体" w:hAnsi="宋体"/>
                <w:bCs/>
                <w:szCs w:val="21"/>
              </w:rPr>
            </w:pPr>
            <w:r>
              <w:rPr>
                <w:rFonts w:ascii="宋体" w:hAnsi="宋体"/>
                <w:bCs/>
                <w:szCs w:val="21"/>
              </w:rPr>
              <w:t>2.</w:t>
            </w:r>
            <w:r>
              <w:rPr>
                <w:rFonts w:hint="eastAsia" w:ascii="宋体" w:hAnsi="宋体"/>
                <w:bCs/>
                <w:szCs w:val="21"/>
              </w:rPr>
              <w:t>施工组织设计、特殊专项方案、技术交底审批手续完整，签字齐全；</w:t>
            </w:r>
          </w:p>
          <w:p>
            <w:pPr>
              <w:pStyle w:val="4"/>
              <w:snapToGrid w:val="0"/>
              <w:spacing w:line="276" w:lineRule="auto"/>
              <w:ind w:firstLine="0" w:firstLineChars="0"/>
              <w:rPr>
                <w:rFonts w:ascii="宋体" w:hAnsi="宋体"/>
                <w:bCs/>
                <w:szCs w:val="21"/>
              </w:rPr>
            </w:pPr>
            <w:r>
              <w:rPr>
                <w:rFonts w:ascii="宋体" w:hAnsi="宋体"/>
                <w:bCs/>
                <w:szCs w:val="21"/>
              </w:rPr>
              <w:t>3.</w:t>
            </w:r>
            <w:r>
              <w:rPr>
                <w:rFonts w:hint="eastAsia" w:ascii="宋体" w:hAnsi="宋体"/>
                <w:bCs/>
                <w:szCs w:val="21"/>
              </w:rPr>
              <w:t>施工日志日期连续，内容全面，签字齐全（原件）；</w:t>
            </w:r>
          </w:p>
          <w:p>
            <w:pPr>
              <w:pStyle w:val="4"/>
              <w:snapToGrid w:val="0"/>
              <w:spacing w:line="276" w:lineRule="auto"/>
              <w:ind w:firstLine="0" w:firstLineChars="0"/>
              <w:rPr>
                <w:rFonts w:ascii="宋体" w:hAnsi="宋体"/>
                <w:bCs/>
                <w:szCs w:val="21"/>
              </w:rPr>
            </w:pPr>
            <w:r>
              <w:rPr>
                <w:rFonts w:ascii="宋体" w:hAnsi="宋体"/>
                <w:bCs/>
                <w:szCs w:val="21"/>
              </w:rPr>
              <w:t>4.</w:t>
            </w:r>
            <w:r>
              <w:rPr>
                <w:rFonts w:hint="eastAsia" w:ascii="宋体" w:hAnsi="宋体"/>
                <w:bCs/>
                <w:szCs w:val="21"/>
              </w:rPr>
              <w:t>检验批、分项、分部（子分部）质量验收记录齐全（原件）；</w:t>
            </w:r>
          </w:p>
          <w:p>
            <w:pPr>
              <w:pStyle w:val="4"/>
              <w:snapToGrid w:val="0"/>
              <w:spacing w:line="276" w:lineRule="auto"/>
              <w:ind w:firstLine="0" w:firstLineChars="0"/>
              <w:rPr>
                <w:rFonts w:ascii="宋体" w:hAnsi="宋体"/>
                <w:bCs/>
                <w:szCs w:val="21"/>
              </w:rPr>
            </w:pPr>
            <w:r>
              <w:rPr>
                <w:rFonts w:ascii="宋体" w:hAnsi="宋体"/>
                <w:bCs/>
                <w:szCs w:val="21"/>
              </w:rPr>
              <w:t>5.</w:t>
            </w:r>
            <w:r>
              <w:rPr>
                <w:rFonts w:hint="eastAsia" w:ascii="宋体" w:hAnsi="宋体"/>
                <w:bCs/>
                <w:szCs w:val="21"/>
              </w:rPr>
              <w:t>竣工图（重点部位、重要节点图与隐蔽验收一致）、节能设计等按公共建筑装饰类执行。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r>
              <w:rPr>
                <w:rFonts w:hint="eastAsia" w:ascii="宋体" w:hAnsi="宋体"/>
                <w:bCs/>
                <w:szCs w:val="21"/>
              </w:rPr>
              <w:t>室外装饰</w:t>
            </w:r>
          </w:p>
          <w:p>
            <w:pPr>
              <w:snapToGrid w:val="0"/>
              <w:spacing w:line="240" w:lineRule="exact"/>
              <w:jc w:val="center"/>
              <w:rPr>
                <w:rFonts w:ascii="宋体" w:hAnsi="宋体"/>
                <w:szCs w:val="21"/>
              </w:rPr>
            </w:pPr>
            <w:r>
              <w:rPr>
                <w:rFonts w:hint="eastAsia" w:ascii="宋体" w:hAnsi="宋体"/>
                <w:bCs/>
                <w:szCs w:val="21"/>
              </w:rPr>
              <w:t>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4"/>
              <w:snapToGrid w:val="0"/>
              <w:spacing w:line="288" w:lineRule="auto"/>
              <w:ind w:firstLine="0" w:firstLineChars="0"/>
              <w:rPr>
                <w:rFonts w:ascii="宋体" w:hAnsi="宋体"/>
                <w:szCs w:val="21"/>
              </w:rPr>
            </w:pPr>
            <w:r>
              <w:rPr>
                <w:rFonts w:hint="eastAsia" w:ascii="宋体" w:hAnsi="宋体"/>
                <w:szCs w:val="21"/>
              </w:rPr>
              <w:t>1.墙面不垂直平整，有明显的收缩裂缝和膨胀变形；</w:t>
            </w:r>
          </w:p>
          <w:p>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阴阳角不方正、线条不顺直；</w:t>
            </w:r>
          </w:p>
          <w:p>
            <w:pPr>
              <w:pStyle w:val="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rPr>
              <w:t>外墙涂料色差大，有返碱、咬色、流坠现象。</w:t>
            </w:r>
          </w:p>
        </w:tc>
        <w:tc>
          <w:tcPr>
            <w:tcW w:w="2409" w:type="dxa"/>
            <w:vMerge w:val="restart"/>
            <w:tcBorders>
              <w:top w:val="single" w:color="auto" w:sz="4" w:space="0"/>
              <w:left w:val="single" w:color="auto" w:sz="4" w:space="0"/>
              <w:right w:val="single" w:color="auto" w:sz="4" w:space="0"/>
            </w:tcBorders>
            <w:noWrap w:val="0"/>
            <w:vAlign w:val="center"/>
          </w:tcPr>
          <w:p>
            <w:pPr>
              <w:pStyle w:val="4"/>
              <w:snapToGrid w:val="0"/>
              <w:spacing w:line="288" w:lineRule="auto"/>
              <w:ind w:firstLine="0" w:firstLineChars="0"/>
              <w:rPr>
                <w:rFonts w:ascii="宋体" w:hAnsi="宋体"/>
                <w:szCs w:val="21"/>
              </w:rPr>
            </w:pPr>
            <w:r>
              <w:rPr>
                <w:rFonts w:ascii="宋体" w:hAnsi="宋体"/>
                <w:szCs w:val="21"/>
              </w:rPr>
              <w:t>1.</w:t>
            </w:r>
            <w:r>
              <w:rPr>
                <w:rFonts w:hint="eastAsia" w:ascii="宋体" w:hAnsi="宋体"/>
                <w:szCs w:val="21"/>
              </w:rPr>
              <w:t>装饰装修分值按公共建筑装饰类执行。</w:t>
            </w:r>
          </w:p>
          <w:p>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其它问题每项扣0.5-1分。</w:t>
            </w:r>
          </w:p>
        </w:tc>
        <w:tc>
          <w:tcPr>
            <w:tcW w:w="1701" w:type="dxa"/>
            <w:vMerge w:val="restart"/>
            <w:tcBorders>
              <w:left w:val="single" w:color="auto" w:sz="4" w:space="0"/>
              <w:right w:val="single" w:color="auto" w:sz="4" w:space="0"/>
            </w:tcBorders>
            <w:noWrap w:val="0"/>
            <w:vAlign w:val="center"/>
          </w:tcPr>
          <w:p>
            <w:pPr>
              <w:pStyle w:val="4"/>
              <w:snapToGrid w:val="0"/>
              <w:spacing w:line="288" w:lineRule="auto"/>
              <w:ind w:firstLine="0" w:firstLineChars="0"/>
              <w:jc w:val="left"/>
              <w:rPr>
                <w:rFonts w:ascii="宋体" w:hAnsi="宋体"/>
                <w:szCs w:val="21"/>
              </w:rPr>
            </w:pPr>
            <w:r>
              <w:rPr>
                <w:rFonts w:hint="eastAsia" w:ascii="宋体" w:hAnsi="宋体"/>
                <w:szCs w:val="21"/>
              </w:rPr>
              <w:t>1.涉及工程质量安全、强条项的内容为必查项。</w:t>
            </w:r>
          </w:p>
          <w:p>
            <w:pPr>
              <w:pStyle w:val="4"/>
              <w:snapToGrid w:val="0"/>
              <w:spacing w:line="288" w:lineRule="auto"/>
              <w:ind w:firstLine="0" w:firstLineChars="0"/>
              <w:jc w:val="left"/>
              <w:rPr>
                <w:rFonts w:ascii="宋体" w:hAnsi="宋体"/>
                <w:szCs w:val="21"/>
              </w:rPr>
            </w:pPr>
            <w:r>
              <w:rPr>
                <w:rFonts w:ascii="宋体" w:hAnsi="宋体"/>
                <w:szCs w:val="21"/>
              </w:rPr>
              <w:t>2.</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25分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抹灰工程</w:t>
            </w:r>
          </w:p>
          <w:p>
            <w:pPr>
              <w:pStyle w:val="4"/>
              <w:snapToGrid w:val="0"/>
              <w:spacing w:line="288" w:lineRule="auto"/>
              <w:ind w:firstLine="0" w:firstLineChars="0"/>
              <w:rPr>
                <w:rFonts w:ascii="宋体" w:hAnsi="宋体"/>
                <w:szCs w:val="21"/>
              </w:rPr>
            </w:pPr>
            <w:r>
              <w:rPr>
                <w:rFonts w:hint="eastAsia" w:ascii="宋体" w:hAnsi="宋体"/>
                <w:szCs w:val="21"/>
              </w:rPr>
              <w:t>1.局部出现空鼓、脱落，接茬不平整，分隔缝不清晰现象；</w:t>
            </w:r>
          </w:p>
          <w:p>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滴水线(槽)不够整齐顺直，方向做反，滴水槽的宽度和深度未达到要求；</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首层和需要加强部位缺少加强措施，勒脚上口直线度不足。</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外墙工程</w:t>
            </w:r>
          </w:p>
          <w:p>
            <w:pPr>
              <w:pStyle w:val="4"/>
              <w:snapToGrid w:val="0"/>
              <w:spacing w:line="288" w:lineRule="auto"/>
              <w:ind w:firstLine="0" w:firstLineChars="0"/>
              <w:rPr>
                <w:rFonts w:ascii="宋体" w:hAnsi="宋体"/>
                <w:szCs w:val="21"/>
              </w:rPr>
            </w:pPr>
            <w:r>
              <w:rPr>
                <w:rFonts w:hint="eastAsia" w:ascii="宋体" w:hAnsi="宋体"/>
                <w:szCs w:val="21"/>
              </w:rPr>
              <w:t>1.墙体表面有渗漏、有水渍；</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涂饰表面不平整；</w:t>
            </w:r>
          </w:p>
          <w:p>
            <w:pPr>
              <w:pStyle w:val="4"/>
              <w:snapToGrid w:val="0"/>
              <w:spacing w:line="288" w:lineRule="auto"/>
              <w:ind w:firstLine="0" w:firstLineChars="0"/>
              <w:rPr>
                <w:rFonts w:ascii="宋体" w:hAnsi="宋体"/>
                <w:szCs w:val="21"/>
              </w:rPr>
            </w:pPr>
            <w:r>
              <w:rPr>
                <w:rFonts w:hint="eastAsia" w:ascii="宋体" w:hAnsi="宋体"/>
                <w:szCs w:val="21"/>
              </w:rPr>
              <w:t>3.涂饰有粉化、起皮、裂缝、漏刷、透底的现象；</w:t>
            </w:r>
          </w:p>
          <w:p>
            <w:pPr>
              <w:pStyle w:val="4"/>
              <w:snapToGrid w:val="0"/>
              <w:spacing w:line="288" w:lineRule="auto"/>
              <w:ind w:firstLine="0" w:firstLineChars="0"/>
              <w:rPr>
                <w:rFonts w:ascii="宋体" w:hAnsi="宋体"/>
                <w:szCs w:val="21"/>
              </w:rPr>
            </w:pPr>
            <w:r>
              <w:rPr>
                <w:rFonts w:ascii="宋体" w:hAnsi="宋体"/>
                <w:szCs w:val="21"/>
              </w:rPr>
              <w:t>4.</w:t>
            </w:r>
            <w:r>
              <w:rPr>
                <w:rFonts w:hint="eastAsia" w:ascii="宋体" w:hAnsi="宋体"/>
                <w:szCs w:val="21"/>
              </w:rPr>
              <w:t>涂饰分色线直线度不足。</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其它装饰工程</w:t>
            </w:r>
          </w:p>
          <w:p>
            <w:pPr>
              <w:snapToGrid w:val="0"/>
              <w:spacing w:line="288" w:lineRule="auto"/>
              <w:rPr>
                <w:rFonts w:ascii="宋体" w:hAnsi="宋体"/>
                <w:szCs w:val="21"/>
              </w:rPr>
            </w:pPr>
            <w:r>
              <w:rPr>
                <w:rFonts w:hint="eastAsia" w:ascii="宋体" w:hAnsi="宋体"/>
                <w:szCs w:val="21"/>
              </w:rPr>
              <w:t>1.散水台阶表面不够平整光滑，有存水的现象；</w:t>
            </w:r>
          </w:p>
          <w:p>
            <w:pPr>
              <w:snapToGrid w:val="0"/>
              <w:spacing w:line="288" w:lineRule="auto"/>
              <w:rPr>
                <w:rFonts w:ascii="宋体" w:hAnsi="宋体"/>
                <w:szCs w:val="21"/>
              </w:rPr>
            </w:pPr>
            <w:r>
              <w:rPr>
                <w:rFonts w:hint="eastAsia" w:ascii="宋体" w:hAnsi="宋体"/>
                <w:szCs w:val="21"/>
              </w:rPr>
              <w:t>2.金属护栏接缝不平顺，表面有缺陷；</w:t>
            </w:r>
          </w:p>
          <w:p>
            <w:pPr>
              <w:snapToGrid w:val="0"/>
              <w:spacing w:line="288" w:lineRule="auto"/>
              <w:rPr>
                <w:rFonts w:ascii="宋体" w:hAnsi="宋体"/>
                <w:szCs w:val="21"/>
              </w:rPr>
            </w:pPr>
            <w:r>
              <w:rPr>
                <w:rFonts w:hint="eastAsia" w:ascii="宋体" w:hAnsi="宋体"/>
                <w:szCs w:val="21"/>
              </w:rPr>
              <w:t>3.栏杆与原结构墙体连接欠牢固；</w:t>
            </w:r>
          </w:p>
          <w:p>
            <w:pPr>
              <w:snapToGrid w:val="0"/>
              <w:spacing w:line="288" w:lineRule="auto"/>
              <w:rPr>
                <w:rFonts w:ascii="宋体" w:hAnsi="宋体"/>
                <w:szCs w:val="21"/>
              </w:rPr>
            </w:pPr>
            <w:r>
              <w:rPr>
                <w:rFonts w:hint="eastAsia" w:ascii="宋体" w:hAnsi="宋体"/>
                <w:szCs w:val="21"/>
              </w:rPr>
              <w:t>4.沉降缝、变形缝的处理不到位。</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附属工程</w:t>
            </w:r>
          </w:p>
          <w:p>
            <w:pPr>
              <w:snapToGrid w:val="0"/>
              <w:spacing w:line="288" w:lineRule="auto"/>
              <w:rPr>
                <w:rFonts w:ascii="宋体" w:hAnsi="宋体"/>
                <w:szCs w:val="21"/>
              </w:rPr>
            </w:pPr>
            <w:r>
              <w:rPr>
                <w:rFonts w:ascii="宋体" w:hAnsi="宋体"/>
                <w:szCs w:val="21"/>
              </w:rPr>
              <w:t>参照其它分类复查细则。</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r>
              <w:rPr>
                <w:rFonts w:hint="eastAsia" w:ascii="宋体" w:hAnsi="宋体"/>
                <w:bCs/>
                <w:szCs w:val="21"/>
              </w:rPr>
              <w:t>外门窗工程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4"/>
              <w:snapToGrid w:val="0"/>
              <w:spacing w:line="288" w:lineRule="auto"/>
              <w:ind w:firstLine="0" w:firstLineChars="0"/>
              <w:rPr>
                <w:rFonts w:ascii="宋体" w:hAnsi="宋体"/>
                <w:szCs w:val="21"/>
              </w:rPr>
            </w:pPr>
            <w:r>
              <w:rPr>
                <w:rFonts w:hint="eastAsia" w:ascii="宋体" w:hAnsi="宋体"/>
                <w:szCs w:val="21"/>
              </w:rPr>
              <w:t>1.建筑外门窗安装不牢固；</w:t>
            </w:r>
          </w:p>
          <w:p>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门窗未按规定安装防脱落装置；</w:t>
            </w:r>
          </w:p>
          <w:p>
            <w:pPr>
              <w:pStyle w:val="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rPr>
              <w:t>全楼门窗安装垂直方向或水平方向偏差较大。</w:t>
            </w:r>
          </w:p>
        </w:tc>
        <w:tc>
          <w:tcPr>
            <w:tcW w:w="2409" w:type="dxa"/>
            <w:vMerge w:val="restart"/>
            <w:tcBorders>
              <w:top w:val="single" w:color="auto" w:sz="4" w:space="0"/>
              <w:left w:val="single" w:color="auto" w:sz="4" w:space="0"/>
              <w:right w:val="single" w:color="auto" w:sz="4" w:space="0"/>
            </w:tcBorders>
            <w:noWrap w:val="0"/>
            <w:vAlign w:val="center"/>
          </w:tcPr>
          <w:p>
            <w:pPr>
              <w:pStyle w:val="4"/>
              <w:snapToGrid w:val="0"/>
              <w:spacing w:line="288" w:lineRule="auto"/>
              <w:ind w:firstLine="0" w:firstLineChars="0"/>
              <w:rPr>
                <w:rFonts w:ascii="宋体" w:hAnsi="宋体"/>
                <w:szCs w:val="21"/>
              </w:rPr>
            </w:pPr>
            <w:r>
              <w:rPr>
                <w:rFonts w:hint="eastAsia" w:ascii="宋体" w:hAnsi="宋体"/>
                <w:szCs w:val="21"/>
              </w:rPr>
              <w:t>1.装饰装修分值按公共建筑装饰类执行；</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其它问题项每项扣0.5-1分。</w:t>
            </w:r>
          </w:p>
        </w:tc>
        <w:tc>
          <w:tcPr>
            <w:tcW w:w="1701" w:type="dxa"/>
            <w:vMerge w:val="restart"/>
            <w:tcBorders>
              <w:left w:val="single" w:color="auto" w:sz="4" w:space="0"/>
              <w:right w:val="single" w:color="auto" w:sz="4" w:space="0"/>
            </w:tcBorders>
            <w:noWrap w:val="0"/>
            <w:vAlign w:val="center"/>
          </w:tcPr>
          <w:p>
            <w:pPr>
              <w:pStyle w:val="4"/>
              <w:snapToGrid w:val="0"/>
              <w:spacing w:line="288" w:lineRule="auto"/>
              <w:ind w:firstLine="0" w:firstLineChars="0"/>
              <w:jc w:val="left"/>
              <w:rPr>
                <w:rFonts w:ascii="宋体" w:hAnsi="宋体"/>
                <w:szCs w:val="21"/>
              </w:rPr>
            </w:pPr>
            <w:r>
              <w:rPr>
                <w:rFonts w:ascii="宋体" w:hAnsi="宋体"/>
                <w:szCs w:val="21"/>
              </w:rPr>
              <w:t>1.</w:t>
            </w:r>
            <w:r>
              <w:rPr>
                <w:rFonts w:hint="eastAsia" w:ascii="宋体" w:hAnsi="宋体"/>
                <w:szCs w:val="21"/>
              </w:rPr>
              <w:t>涉及工程质量安全、强条项的内容为必查项；</w:t>
            </w:r>
          </w:p>
          <w:p>
            <w:pPr>
              <w:pStyle w:val="4"/>
              <w:snapToGrid w:val="0"/>
              <w:spacing w:line="288" w:lineRule="auto"/>
              <w:ind w:firstLine="0" w:firstLineChars="0"/>
              <w:jc w:val="left"/>
              <w:rPr>
                <w:rFonts w:ascii="宋体" w:hAnsi="宋体"/>
                <w:szCs w:val="21"/>
              </w:rPr>
            </w:pPr>
            <w:r>
              <w:rPr>
                <w:rFonts w:hint="eastAsia" w:ascii="宋体" w:hAnsi="宋体"/>
                <w:szCs w:val="21"/>
              </w:rPr>
              <w:t>2.涉及使用功能的内容为必查项。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门窗</w:t>
            </w:r>
          </w:p>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门窗框安装不牢固；锚固件的数量不足，位置、埋设方式与框的连接方式存在缺陷，开启方式不够灵活，出现垂扇、变形现象；无防脱落措施；</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门窗表面不洁净、不平整、光滑欠佳，色泽不一致，存在划痕、擦伤、碰伤现象；</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门窗框与墙体之间的缝隙填嵌欠饱满，密封胶表面不光滑、不顺直，存在裂纹，有渗水现象。</w:t>
            </w:r>
          </w:p>
          <w:p>
            <w:pPr>
              <w:pStyle w:val="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排水孔位置和数量存在缺陷。</w:t>
            </w:r>
          </w:p>
        </w:tc>
        <w:tc>
          <w:tcPr>
            <w:tcW w:w="2409"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567"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吊顶工程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ascii="黑体" w:hAnsi="黑体" w:eastAsia="黑体"/>
                <w:szCs w:val="21"/>
              </w:rPr>
              <w:t>一般观感</w:t>
            </w:r>
          </w:p>
          <w:p>
            <w:pPr>
              <w:pStyle w:val="4"/>
              <w:snapToGrid w:val="0"/>
              <w:spacing w:line="288" w:lineRule="auto"/>
              <w:ind w:firstLine="0" w:firstLineChars="0"/>
              <w:rPr>
                <w:szCs w:val="21"/>
              </w:rPr>
            </w:pPr>
            <w:r>
              <w:rPr>
                <w:rFonts w:hint="eastAsia"/>
                <w:szCs w:val="21"/>
              </w:rPr>
              <w:t>1.天花各种终端设备口未做整体规划，位置零乱影响美观，与面板交接不严；检修口未做收边处理或收口粗笨不协调；</w:t>
            </w:r>
          </w:p>
          <w:p>
            <w:pPr>
              <w:pStyle w:val="4"/>
              <w:snapToGrid w:val="0"/>
              <w:spacing w:line="288" w:lineRule="auto"/>
              <w:ind w:firstLine="0" w:firstLineChars="0"/>
              <w:rPr>
                <w:szCs w:val="21"/>
              </w:rPr>
            </w:pPr>
            <w:r>
              <w:rPr>
                <w:szCs w:val="21"/>
              </w:rPr>
              <w:t>2.</w:t>
            </w:r>
            <w:r>
              <w:rPr>
                <w:rFonts w:hint="eastAsia"/>
                <w:szCs w:val="21"/>
              </w:rPr>
              <w:t>未采用成品构件的检修口、检修孔；</w:t>
            </w:r>
          </w:p>
          <w:p>
            <w:pPr>
              <w:snapToGrid w:val="0"/>
              <w:spacing w:line="288" w:lineRule="auto"/>
              <w:rPr>
                <w:szCs w:val="21"/>
              </w:rPr>
            </w:pPr>
            <w:r>
              <w:rPr>
                <w:rFonts w:hint="eastAsia" w:ascii="Calibri" w:hAnsi="Calibri"/>
                <w:szCs w:val="21"/>
              </w:rPr>
              <w:t>3.阴阳角不方正，收口收边不严密、不顺直，变形明显。</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288" w:lineRule="auto"/>
              <w:ind w:left="2"/>
              <w:rPr>
                <w:rFonts w:ascii="Calibri" w:hAnsi="Calibri"/>
                <w:szCs w:val="21"/>
              </w:rPr>
            </w:pPr>
            <w:r>
              <w:rPr>
                <w:rFonts w:hint="eastAsia" w:ascii="Calibri" w:hAnsi="Calibri"/>
                <w:szCs w:val="21"/>
              </w:rPr>
              <w:t>1.装饰装修分值按公共建筑装饰类执行；</w:t>
            </w:r>
          </w:p>
          <w:p>
            <w:pPr>
              <w:snapToGrid w:val="0"/>
              <w:spacing w:line="288" w:lineRule="auto"/>
              <w:ind w:left="29" w:hanging="29" w:hangingChars="14"/>
              <w:rPr>
                <w:rFonts w:ascii="Calibri" w:hAnsi="Calibri"/>
                <w:szCs w:val="21"/>
              </w:rPr>
            </w:pPr>
            <w:r>
              <w:rPr>
                <w:rFonts w:hint="eastAsia" w:ascii="Calibri" w:hAnsi="Calibri"/>
                <w:szCs w:val="21"/>
              </w:rPr>
              <w:t>2.其它问题项每项扣0.5-1分。</w:t>
            </w:r>
          </w:p>
        </w:tc>
        <w:tc>
          <w:tcPr>
            <w:tcW w:w="1701" w:type="dxa"/>
            <w:vMerge w:val="restart"/>
            <w:tcBorders>
              <w:left w:val="single" w:color="auto" w:sz="4" w:space="0"/>
              <w:right w:val="single" w:color="auto" w:sz="4" w:space="0"/>
            </w:tcBorders>
            <w:noWrap w:val="0"/>
            <w:vAlign w:val="center"/>
          </w:tcPr>
          <w:p>
            <w:pPr>
              <w:pStyle w:val="4"/>
              <w:snapToGrid w:val="0"/>
              <w:spacing w:line="288" w:lineRule="auto"/>
              <w:ind w:firstLine="0" w:firstLineChars="0"/>
              <w:rPr>
                <w:szCs w:val="21"/>
              </w:rPr>
            </w:pPr>
            <w:r>
              <w:rPr>
                <w:rFonts w:hint="eastAsia"/>
                <w:szCs w:val="21"/>
              </w:rPr>
              <w:t>1.涉及工程质量安全、强条项的内容为必查项。</w:t>
            </w:r>
          </w:p>
          <w:p>
            <w:pPr>
              <w:pStyle w:val="4"/>
              <w:snapToGrid w:val="0"/>
              <w:spacing w:line="288" w:lineRule="auto"/>
              <w:ind w:firstLine="0" w:firstLineChars="0"/>
              <w:rPr>
                <w:szCs w:val="21"/>
              </w:rPr>
            </w:pPr>
            <w:r>
              <w:rPr>
                <w:szCs w:val="21"/>
              </w:rPr>
              <w:t>2.</w:t>
            </w:r>
            <w:r>
              <w:rPr>
                <w:rFonts w:hint="eastAsia"/>
                <w:szCs w:val="21"/>
              </w:rPr>
              <w:t>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288" w:lineRule="auto"/>
              <w:rPr>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r>
              <w:rPr>
                <w:rFonts w:hint="eastAsia" w:ascii="黑体" w:hAnsi="黑体" w:eastAsia="黑体"/>
                <w:szCs w:val="21"/>
              </w:rPr>
              <w:t>其它</w:t>
            </w:r>
          </w:p>
          <w:p>
            <w:pPr>
              <w:snapToGrid w:val="0"/>
              <w:spacing w:line="288" w:lineRule="auto"/>
              <w:rPr>
                <w:szCs w:val="21"/>
              </w:rPr>
            </w:pPr>
            <w:r>
              <w:rPr>
                <w:rFonts w:hint="eastAsia"/>
                <w:szCs w:val="21"/>
              </w:rPr>
              <w:t>吊顶工程质量问题按装饰奖（公共建筑装饰类）执行</w:t>
            </w:r>
          </w:p>
        </w:tc>
        <w:tc>
          <w:tcPr>
            <w:tcW w:w="2409" w:type="dxa"/>
            <w:vMerge w:val="continue"/>
            <w:tcBorders>
              <w:left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pPr>
              <w:snapToGrid w:val="0"/>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567" w:type="dxa"/>
            <w:vMerge w:val="restart"/>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w:t>
            </w:r>
          </w:p>
        </w:tc>
        <w:tc>
          <w:tcPr>
            <w:tcW w:w="1277" w:type="dxa"/>
            <w:vMerge w:val="restart"/>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内墙柱面</w:t>
            </w:r>
          </w:p>
          <w:p>
            <w:pPr>
              <w:snapToGrid w:val="0"/>
              <w:spacing w:line="360" w:lineRule="auto"/>
              <w:jc w:val="center"/>
              <w:rPr>
                <w:rFonts w:ascii="宋体" w:hAnsi="宋体"/>
                <w:szCs w:val="21"/>
              </w:rPr>
            </w:pPr>
            <w:r>
              <w:rPr>
                <w:rFonts w:ascii="宋体" w:hAnsi="宋体"/>
                <w:szCs w:val="21"/>
              </w:rPr>
              <w:t>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szCs w:val="21"/>
              </w:rPr>
            </w:pPr>
            <w:r>
              <w:rPr>
                <w:rFonts w:hint="eastAsia" w:ascii="黑体" w:hAnsi="黑体" w:eastAsia="黑体"/>
                <w:szCs w:val="21"/>
              </w:rPr>
              <w:t>一般观感</w:t>
            </w:r>
          </w:p>
          <w:p>
            <w:pPr>
              <w:snapToGrid w:val="0"/>
              <w:spacing w:line="360" w:lineRule="auto"/>
              <w:rPr>
                <w:rFonts w:ascii="Calibri" w:hAnsi="Calibri"/>
                <w:szCs w:val="21"/>
              </w:rPr>
            </w:pPr>
            <w:r>
              <w:rPr>
                <w:rFonts w:hint="eastAsia" w:ascii="Calibri" w:hAnsi="Calibri"/>
                <w:szCs w:val="21"/>
              </w:rPr>
              <w:t>墙面阴阳角不方正、不顺直；电气面板与墙面交接不严密，横线条高于竖线条。</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Calibri" w:hAnsi="Calibri"/>
                <w:szCs w:val="21"/>
              </w:rPr>
              <w:t>1.装饰装修分值按公共建筑装饰类执行；</w:t>
            </w:r>
          </w:p>
          <w:p>
            <w:pPr>
              <w:snapToGrid w:val="0"/>
              <w:spacing w:line="360" w:lineRule="auto"/>
              <w:rPr>
                <w:rFonts w:ascii="Calibri" w:hAnsi="Calibri"/>
                <w:szCs w:val="21"/>
              </w:rPr>
            </w:pPr>
            <w:r>
              <w:rPr>
                <w:rFonts w:hint="eastAsia" w:ascii="Calibri" w:hAnsi="Calibri"/>
                <w:szCs w:val="21"/>
              </w:rPr>
              <w:t>2.其它问题项每项扣0.5-1分。</w:t>
            </w:r>
          </w:p>
        </w:tc>
        <w:tc>
          <w:tcPr>
            <w:tcW w:w="1701" w:type="dxa"/>
            <w:vMerge w:val="restart"/>
            <w:tcBorders>
              <w:left w:val="single" w:color="auto" w:sz="4" w:space="0"/>
              <w:right w:val="single" w:color="auto" w:sz="4" w:space="0"/>
            </w:tcBorders>
            <w:noWrap w:val="0"/>
            <w:vAlign w:val="center"/>
          </w:tcPr>
          <w:p>
            <w:pPr>
              <w:snapToGrid w:val="0"/>
              <w:spacing w:line="276" w:lineRule="auto"/>
              <w:rPr>
                <w:rFonts w:ascii="Calibri" w:hAnsi="Calibri"/>
                <w:szCs w:val="21"/>
              </w:rPr>
            </w:pPr>
            <w:r>
              <w:rPr>
                <w:rFonts w:hint="eastAsia" w:ascii="Calibri" w:hAnsi="Calibri"/>
                <w:szCs w:val="21"/>
              </w:rPr>
              <w:t>1.涉及工程质量安全、强条项的内容为必查项。</w:t>
            </w:r>
          </w:p>
          <w:p>
            <w:pPr>
              <w:snapToGrid w:val="0"/>
              <w:spacing w:line="276" w:lineRule="auto"/>
              <w:rPr>
                <w:rFonts w:ascii="Calibri" w:hAnsi="Calibri"/>
                <w:szCs w:val="21"/>
              </w:rPr>
            </w:pPr>
            <w:r>
              <w:rPr>
                <w:rFonts w:hint="eastAsia" w:ascii="Calibri" w:hAnsi="Calibri"/>
                <w:szCs w:val="21"/>
              </w:rPr>
              <w:t>2.涉及使用功能的内容为必查项。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567"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黑体" w:hAnsi="黑体" w:eastAsia="黑体"/>
                <w:szCs w:val="21"/>
              </w:rPr>
              <w:t>其它</w:t>
            </w:r>
          </w:p>
          <w:p>
            <w:pPr>
              <w:snapToGrid w:val="0"/>
              <w:spacing w:line="360" w:lineRule="auto"/>
              <w:rPr>
                <w:rFonts w:ascii="Calibri" w:hAnsi="Calibri"/>
                <w:szCs w:val="21"/>
              </w:rPr>
            </w:pPr>
            <w:r>
              <w:rPr>
                <w:rFonts w:hint="eastAsia" w:ascii="Calibri" w:hAnsi="Calibri"/>
                <w:szCs w:val="21"/>
              </w:rPr>
              <w:t>内墙柱面工程质量问题按装饰奖（公共建筑装饰类）执行。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567" w:type="dxa"/>
            <w:vMerge w:val="restart"/>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6</w:t>
            </w:r>
          </w:p>
        </w:tc>
        <w:tc>
          <w:tcPr>
            <w:tcW w:w="1277" w:type="dxa"/>
            <w:vMerge w:val="restart"/>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地面工程</w:t>
            </w:r>
          </w:p>
          <w:p>
            <w:pPr>
              <w:snapToGrid w:val="0"/>
              <w:spacing w:line="360" w:lineRule="auto"/>
              <w:jc w:val="left"/>
              <w:rPr>
                <w:rFonts w:ascii="宋体" w:hAnsi="宋体"/>
                <w:szCs w:val="21"/>
              </w:rPr>
            </w:pPr>
            <w:r>
              <w:rPr>
                <w:rFonts w:hint="eastAsia" w:ascii="宋体" w:hAnsi="宋体"/>
                <w:szCs w:val="21"/>
              </w:rPr>
              <w:t>（含楼梯、栏杆、扶手等）</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szCs w:val="21"/>
              </w:rPr>
            </w:pPr>
            <w:r>
              <w:rPr>
                <w:rFonts w:hint="eastAsia" w:ascii="黑体" w:hAnsi="黑体" w:eastAsia="黑体"/>
                <w:szCs w:val="21"/>
              </w:rPr>
              <w:t>一般观感</w:t>
            </w:r>
          </w:p>
          <w:p>
            <w:pPr>
              <w:snapToGrid w:val="0"/>
              <w:spacing w:line="360" w:lineRule="auto"/>
              <w:rPr>
                <w:rFonts w:ascii="Calibri" w:hAnsi="Calibri"/>
                <w:szCs w:val="21"/>
              </w:rPr>
            </w:pPr>
            <w:r>
              <w:rPr>
                <w:rFonts w:hint="eastAsia" w:ascii="Calibri" w:hAnsi="Calibri"/>
                <w:szCs w:val="21"/>
              </w:rPr>
              <w:t>1.地面标高不准确，与客梯和用水间配合不好；</w:t>
            </w:r>
          </w:p>
          <w:p>
            <w:pPr>
              <w:snapToGrid w:val="0"/>
              <w:spacing w:line="360" w:lineRule="auto"/>
              <w:rPr>
                <w:rFonts w:ascii="Calibri" w:hAnsi="Calibri"/>
                <w:szCs w:val="21"/>
              </w:rPr>
            </w:pPr>
            <w:r>
              <w:rPr>
                <w:rFonts w:hint="eastAsia" w:ascii="Calibri" w:hAnsi="Calibri"/>
                <w:szCs w:val="21"/>
              </w:rPr>
              <w:t>2.地面平整差，坡向不正确；</w:t>
            </w:r>
          </w:p>
          <w:p>
            <w:pPr>
              <w:snapToGrid w:val="0"/>
              <w:spacing w:line="360" w:lineRule="auto"/>
              <w:rPr>
                <w:rFonts w:ascii="Calibri" w:hAnsi="Calibri"/>
                <w:szCs w:val="21"/>
              </w:rPr>
            </w:pPr>
            <w:r>
              <w:rPr>
                <w:rFonts w:hint="eastAsia" w:ascii="Calibri" w:hAnsi="Calibri"/>
                <w:szCs w:val="21"/>
              </w:rPr>
              <w:t>3.色差大，影响整体效果。</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宋体" w:hAnsi="宋体"/>
                <w:szCs w:val="21"/>
              </w:rPr>
              <w:t>1.装</w:t>
            </w:r>
            <w:r>
              <w:rPr>
                <w:rFonts w:hint="eastAsia" w:ascii="Calibri" w:hAnsi="Calibri"/>
                <w:szCs w:val="21"/>
              </w:rPr>
              <w:t>饰装修分值按公共建筑装饰类（公共建筑装饰工程）执行；</w:t>
            </w:r>
          </w:p>
          <w:p>
            <w:pPr>
              <w:snapToGrid w:val="0"/>
              <w:spacing w:line="360" w:lineRule="auto"/>
              <w:rPr>
                <w:rFonts w:ascii="宋体" w:hAnsi="宋体"/>
                <w:szCs w:val="21"/>
              </w:rPr>
            </w:pPr>
            <w:r>
              <w:rPr>
                <w:rFonts w:hint="eastAsia" w:ascii="Calibri" w:hAnsi="Calibri"/>
                <w:szCs w:val="21"/>
              </w:rPr>
              <w:t>2.其它问题项每项扣0.5-1分。</w:t>
            </w:r>
          </w:p>
        </w:tc>
        <w:tc>
          <w:tcPr>
            <w:tcW w:w="1701" w:type="dxa"/>
            <w:vMerge w:val="restart"/>
            <w:tcBorders>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1.涉及工程质量安全、强条项的内容为必查项。</w:t>
            </w:r>
          </w:p>
          <w:p>
            <w:pPr>
              <w:snapToGrid w:val="0"/>
              <w:spacing w:line="276" w:lineRule="auto"/>
              <w:rPr>
                <w:rFonts w:ascii="宋体" w:hAnsi="宋体"/>
                <w:szCs w:val="21"/>
              </w:rPr>
            </w:pPr>
            <w:r>
              <w:rPr>
                <w:rFonts w:hint="eastAsia" w:ascii="宋体" w:hAnsi="宋体"/>
                <w:szCs w:val="21"/>
              </w:rPr>
              <w:t>2.涉及使用功能的内容为必查项。</w:t>
            </w:r>
          </w:p>
        </w:tc>
        <w:tc>
          <w:tcPr>
            <w:tcW w:w="851" w:type="dxa"/>
            <w:vMerge w:val="restart"/>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结合图纸、资料查工程实体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67"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黑体" w:hAnsi="黑体" w:eastAsia="黑体"/>
                <w:szCs w:val="21"/>
              </w:rPr>
              <w:t>其它</w:t>
            </w:r>
          </w:p>
          <w:p>
            <w:pPr>
              <w:snapToGrid w:val="0"/>
              <w:spacing w:line="360" w:lineRule="auto"/>
              <w:rPr>
                <w:rFonts w:ascii="Calibri" w:hAnsi="Calibri"/>
                <w:szCs w:val="21"/>
              </w:rPr>
            </w:pPr>
            <w:r>
              <w:rPr>
                <w:rFonts w:hint="eastAsia" w:ascii="Calibri" w:hAnsi="Calibri"/>
                <w:szCs w:val="21"/>
              </w:rPr>
              <w:t>其它地面工程质量问题按装饰奖（公装类）执行。</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567" w:type="dxa"/>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Calibri" w:hAnsi="Calibri"/>
                <w:szCs w:val="21"/>
              </w:rPr>
              <w:t>1</w:t>
            </w:r>
            <w:r>
              <w:rPr>
                <w:rFonts w:ascii="Calibri" w:hAnsi="Calibri"/>
                <w:szCs w:val="21"/>
              </w:rPr>
              <w:t>.</w:t>
            </w:r>
            <w:r>
              <w:rPr>
                <w:rFonts w:hint="eastAsia" w:ascii="Calibri" w:hAnsi="Calibri"/>
                <w:szCs w:val="21"/>
              </w:rPr>
              <w:t>创新技术、工艺、工法等；</w:t>
            </w:r>
          </w:p>
          <w:p>
            <w:pPr>
              <w:snapToGrid w:val="0"/>
              <w:spacing w:line="360" w:lineRule="auto"/>
              <w:rPr>
                <w:rFonts w:ascii="Calibri" w:hAnsi="Calibri"/>
                <w:szCs w:val="21"/>
              </w:rPr>
            </w:pPr>
            <w:r>
              <w:rPr>
                <w:rFonts w:hint="eastAsia" w:ascii="Calibri" w:hAnsi="Calibri"/>
                <w:szCs w:val="21"/>
              </w:rPr>
              <w:t>2</w:t>
            </w:r>
            <w:r>
              <w:rPr>
                <w:rFonts w:ascii="Calibri" w:hAnsi="Calibri"/>
                <w:szCs w:val="21"/>
              </w:rPr>
              <w:t>.</w:t>
            </w:r>
            <w:r>
              <w:rPr>
                <w:rFonts w:hint="eastAsia" w:ascii="Calibri" w:hAnsi="Calibri"/>
                <w:szCs w:val="21"/>
              </w:rPr>
              <w:t>采用了新材料、新工艺、新技术或有利于环保节能等的材料、技术、措施、工艺、工法等；</w:t>
            </w:r>
          </w:p>
          <w:p>
            <w:pPr>
              <w:snapToGrid w:val="0"/>
              <w:spacing w:line="360"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获得了与申报工程相关的发明专利、实用新型专利、省级或以上工艺工法等；</w:t>
            </w:r>
          </w:p>
          <w:p>
            <w:pPr>
              <w:snapToGrid w:val="0"/>
              <w:spacing w:line="360" w:lineRule="auto"/>
              <w:rPr>
                <w:szCs w:val="21"/>
              </w:rPr>
            </w:pPr>
            <w:r>
              <w:rPr>
                <w:rFonts w:hint="eastAsia" w:ascii="Calibri" w:hAnsi="Calibri"/>
                <w:szCs w:val="21"/>
              </w:rPr>
              <w:t>4</w:t>
            </w:r>
            <w:r>
              <w:rPr>
                <w:rFonts w:ascii="Calibri" w:hAnsi="Calibri"/>
                <w:szCs w:val="21"/>
              </w:rPr>
              <w:t>.</w:t>
            </w:r>
            <w:r>
              <w:rPr>
                <w:rFonts w:hint="eastAsia" w:ascii="Calibri" w:hAnsi="Calibri"/>
                <w:szCs w:val="21"/>
              </w:rPr>
              <w:t>本工程已获得中装协建筑装饰行业科学技术</w:t>
            </w:r>
            <w:r>
              <w:rPr>
                <w:rFonts w:hint="eastAsia"/>
                <w:szCs w:val="21"/>
              </w:rPr>
              <w:t>奖。</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缺少其中内容，扣0.5-3分。</w:t>
            </w:r>
          </w:p>
        </w:tc>
        <w:tc>
          <w:tcPr>
            <w:tcW w:w="170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查：工程实体、图纸、证书、质量管理与技术资料等。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8</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Calibri" w:hAnsi="Calibri"/>
                <w:szCs w:val="21"/>
              </w:rPr>
              <w:t>1</w:t>
            </w:r>
            <w:r>
              <w:rPr>
                <w:rFonts w:ascii="Calibri" w:hAnsi="Calibri"/>
                <w:szCs w:val="21"/>
              </w:rPr>
              <w:t>.</w:t>
            </w:r>
            <w:r>
              <w:rPr>
                <w:rFonts w:hint="eastAsia" w:ascii="Calibri" w:hAnsi="Calibri"/>
                <w:szCs w:val="21"/>
              </w:rPr>
              <w:t>组织工作准备充分，项目经理或执行经理、技术负责人和资料员等主要相关人员到场，汇报PPT内容重点突出、简单明了；</w:t>
            </w:r>
          </w:p>
          <w:p>
            <w:pPr>
              <w:snapToGrid w:val="0"/>
              <w:spacing w:line="360" w:lineRule="auto"/>
              <w:rPr>
                <w:rFonts w:ascii="Calibri" w:hAnsi="Calibri"/>
                <w:szCs w:val="21"/>
              </w:rPr>
            </w:pPr>
            <w:r>
              <w:rPr>
                <w:rFonts w:hint="eastAsia" w:ascii="Calibri" w:hAnsi="Calibri"/>
                <w:szCs w:val="21"/>
              </w:rPr>
              <w:t>2</w:t>
            </w:r>
            <w:r>
              <w:rPr>
                <w:rFonts w:ascii="Calibri" w:hAnsi="Calibri"/>
                <w:szCs w:val="21"/>
              </w:rPr>
              <w:t>.</w:t>
            </w:r>
            <w:r>
              <w:rPr>
                <w:rFonts w:hint="eastAsia" w:ascii="Calibri" w:hAnsi="Calibri"/>
                <w:szCs w:val="21"/>
              </w:rPr>
              <w:t>资料准备充分有序，易于查找；</w:t>
            </w:r>
          </w:p>
          <w:p>
            <w:pPr>
              <w:snapToGrid w:val="0"/>
              <w:spacing w:line="360"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用户沟通意见；</w:t>
            </w:r>
          </w:p>
          <w:p>
            <w:pPr>
              <w:snapToGrid w:val="0"/>
              <w:spacing w:line="360" w:lineRule="auto"/>
              <w:rPr>
                <w:rFonts w:ascii="Calibri" w:hAnsi="Calibri"/>
                <w:szCs w:val="21"/>
              </w:rPr>
            </w:pPr>
            <w:r>
              <w:rPr>
                <w:rFonts w:hint="eastAsia" w:ascii="Calibri" w:hAnsi="Calibri"/>
                <w:szCs w:val="21"/>
              </w:rPr>
              <w:t>4</w:t>
            </w:r>
            <w:r>
              <w:rPr>
                <w:rFonts w:ascii="Calibri" w:hAnsi="Calibri"/>
                <w:szCs w:val="21"/>
              </w:rPr>
              <w:t>.</w:t>
            </w:r>
            <w:r>
              <w:rPr>
                <w:rFonts w:hint="eastAsia" w:ascii="Calibri" w:hAnsi="Calibri"/>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Calibri" w:hAnsi="Calibri"/>
                <w:szCs w:val="21"/>
              </w:rPr>
            </w:pPr>
            <w:r>
              <w:rPr>
                <w:rFonts w:hint="eastAsia" w:ascii="Calibri" w:hAnsi="Calibri"/>
                <w:szCs w:val="21"/>
              </w:rPr>
              <w:t>1</w:t>
            </w:r>
            <w:r>
              <w:rPr>
                <w:rFonts w:ascii="Calibri" w:hAnsi="Calibri"/>
                <w:szCs w:val="21"/>
              </w:rPr>
              <w:t>.</w:t>
            </w:r>
            <w:r>
              <w:rPr>
                <w:rFonts w:hint="eastAsia" w:ascii="Calibri" w:hAnsi="Calibri"/>
                <w:szCs w:val="21"/>
              </w:rPr>
              <w:t>工程施工主要负责人未到场(扣2-5分)；</w:t>
            </w:r>
          </w:p>
          <w:p>
            <w:pPr>
              <w:snapToGrid w:val="0"/>
              <w:spacing w:line="276" w:lineRule="auto"/>
              <w:rPr>
                <w:rFonts w:ascii="Calibri" w:hAnsi="Calibri"/>
                <w:szCs w:val="21"/>
              </w:rPr>
            </w:pPr>
            <w:r>
              <w:rPr>
                <w:rFonts w:hint="eastAsia" w:ascii="Calibri" w:hAnsi="Calibri"/>
                <w:szCs w:val="21"/>
              </w:rPr>
              <w:t>2</w:t>
            </w:r>
            <w:r>
              <w:rPr>
                <w:rFonts w:ascii="Calibri" w:hAnsi="Calibri"/>
                <w:szCs w:val="21"/>
              </w:rPr>
              <w:t>.</w:t>
            </w:r>
            <w:r>
              <w:rPr>
                <w:rFonts w:hint="eastAsia" w:ascii="Calibri" w:hAnsi="Calibri"/>
                <w:szCs w:val="21"/>
              </w:rPr>
              <w:t>资料准备无序不齐全(扣1-2分)；</w:t>
            </w:r>
          </w:p>
          <w:p>
            <w:pPr>
              <w:snapToGrid w:val="0"/>
              <w:spacing w:line="276"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总体印象不佳(扣1-5分)；</w:t>
            </w:r>
          </w:p>
          <w:p>
            <w:pPr>
              <w:snapToGrid w:val="0"/>
              <w:spacing w:line="276" w:lineRule="auto"/>
              <w:rPr>
                <w:rFonts w:ascii="Calibri" w:hAnsi="Calibri"/>
                <w:szCs w:val="21"/>
              </w:rPr>
            </w:pPr>
            <w:r>
              <w:rPr>
                <w:rFonts w:hint="eastAsia" w:ascii="Calibri" w:hAnsi="Calibri"/>
                <w:szCs w:val="21"/>
              </w:rPr>
              <w:t>4</w:t>
            </w:r>
            <w:r>
              <w:rPr>
                <w:rFonts w:ascii="Calibri" w:hAnsi="Calibri"/>
                <w:szCs w:val="21"/>
              </w:rPr>
              <w:t>.</w:t>
            </w:r>
            <w:r>
              <w:rPr>
                <w:rFonts w:hint="eastAsia" w:ascii="Calibri" w:hAnsi="Calibri"/>
                <w:szCs w:val="21"/>
              </w:rPr>
              <w:t>其它不规范、不到位情况(每项扣0.5-1分)。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Calibri" w:hAnsi="Calibri"/>
                <w:szCs w:val="21"/>
              </w:rPr>
            </w:pPr>
            <w:r>
              <w:rPr>
                <w:rFonts w:hint="eastAsia" w:ascii="Calibri" w:hAnsi="Calibri"/>
                <w:szCs w:val="21"/>
              </w:rPr>
              <w:t>人员、资料、过程安排准备不足；未做PPT汇报资料等</w:t>
            </w:r>
          </w:p>
        </w:tc>
        <w:tc>
          <w:tcPr>
            <w:tcW w:w="851" w:type="dxa"/>
            <w:tcBorders>
              <w:left w:val="single" w:color="auto" w:sz="4" w:space="0"/>
              <w:right w:val="single" w:color="auto" w:sz="4" w:space="0"/>
            </w:tcBorders>
            <w:noWrap w:val="0"/>
            <w:vAlign w:val="center"/>
          </w:tcPr>
          <w:p>
            <w:pPr>
              <w:snapToGrid w:val="0"/>
              <w:spacing w:line="288" w:lineRule="auto"/>
              <w:jc w:val="center"/>
              <w:rPr>
                <w:rFonts w:ascii="Calibri" w:hAnsi="Calibri"/>
                <w:szCs w:val="21"/>
              </w:rPr>
            </w:pPr>
            <w:r>
              <w:rPr>
                <w:rFonts w:hint="eastAsia" w:ascii="Calibri" w:hAnsi="Calibri"/>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288" w:lineRule="auto"/>
              <w:ind w:firstLine="0" w:firstLineChars="0"/>
              <w:rPr>
                <w:szCs w:val="21"/>
              </w:rPr>
            </w:pPr>
            <w:r>
              <w:rPr>
                <w:rFonts w:hint="eastAsia"/>
                <w:szCs w:val="21"/>
              </w:rPr>
              <w:t>1</w:t>
            </w:r>
            <w:r>
              <w:rPr>
                <w:szCs w:val="21"/>
              </w:rPr>
              <w:t>.</w:t>
            </w:r>
            <w:r>
              <w:rPr>
                <w:rFonts w:hint="eastAsia"/>
                <w:szCs w:val="21"/>
              </w:rPr>
              <w:t>组织准备情况等；</w:t>
            </w:r>
          </w:p>
          <w:p>
            <w:pPr>
              <w:pStyle w:val="4"/>
              <w:snapToGrid w:val="0"/>
              <w:spacing w:line="288" w:lineRule="auto"/>
              <w:ind w:firstLine="0" w:firstLineChars="0"/>
              <w:rPr>
                <w:szCs w:val="21"/>
              </w:rPr>
            </w:pPr>
            <w:r>
              <w:rPr>
                <w:szCs w:val="21"/>
              </w:rPr>
              <w:t>2.</w:t>
            </w:r>
            <w:r>
              <w:rPr>
                <w:rFonts w:hint="eastAsia"/>
                <w:szCs w:val="21"/>
              </w:rPr>
              <w:t>PPT(项目概况、施工范围、重点难点亮点、施工过程中情况图片等,汇报时间10分钟内)；</w:t>
            </w:r>
          </w:p>
          <w:p>
            <w:pPr>
              <w:pStyle w:val="4"/>
              <w:snapToGrid w:val="0"/>
              <w:spacing w:line="288" w:lineRule="auto"/>
              <w:ind w:firstLine="0" w:firstLineChars="0"/>
              <w:rPr>
                <w:szCs w:val="21"/>
              </w:rPr>
            </w:pPr>
            <w:r>
              <w:rPr>
                <w:szCs w:val="21"/>
              </w:rPr>
              <w:t>3.</w:t>
            </w:r>
            <w:r>
              <w:rPr>
                <w:rFonts w:hint="eastAsia"/>
                <w:szCs w:val="21"/>
              </w:rPr>
              <w:t>用户意见；</w:t>
            </w:r>
          </w:p>
          <w:p>
            <w:pPr>
              <w:pStyle w:val="4"/>
              <w:snapToGrid w:val="0"/>
              <w:spacing w:line="288" w:lineRule="auto"/>
              <w:ind w:firstLine="0" w:firstLineChars="0"/>
              <w:rPr>
                <w:szCs w:val="21"/>
              </w:rPr>
            </w:pPr>
            <w:r>
              <w:rPr>
                <w:rFonts w:hint="eastAsia"/>
                <w:szCs w:val="21"/>
              </w:rPr>
              <w:t>4</w:t>
            </w:r>
            <w:r>
              <w:rPr>
                <w:szCs w:val="21"/>
              </w:rPr>
              <w:t>.</w:t>
            </w:r>
            <w:r>
              <w:rPr>
                <w:rFonts w:hint="eastAsia"/>
                <w:szCs w:val="21"/>
              </w:rPr>
              <w:t>人员、资料、过程安排准备情况；</w:t>
            </w:r>
          </w:p>
          <w:p>
            <w:pPr>
              <w:pStyle w:val="4"/>
              <w:snapToGrid w:val="0"/>
              <w:spacing w:line="288" w:lineRule="auto"/>
              <w:ind w:firstLine="0" w:firstLineChars="0"/>
              <w:rPr>
                <w:szCs w:val="21"/>
              </w:rPr>
            </w:pPr>
            <w:r>
              <w:rPr>
                <w:rFonts w:hint="eastAsia"/>
                <w:szCs w:val="21"/>
              </w:rPr>
              <w:t>5</w:t>
            </w:r>
            <w:r>
              <w:rPr>
                <w:szCs w:val="21"/>
              </w:rPr>
              <w:t>.</w:t>
            </w:r>
            <w:r>
              <w:rPr>
                <w:rFonts w:hint="eastAsia"/>
                <w:szCs w:val="21"/>
              </w:rPr>
              <w:t>纸质汇报资料等。</w:t>
            </w:r>
          </w:p>
        </w:tc>
      </w:tr>
    </w:tbl>
    <w:p>
      <w:pPr>
        <w:rPr>
          <w:rFonts w:hint="eastAsia"/>
        </w:rPr>
        <w:sectPr>
          <w:pgSz w:w="16838" w:h="11906" w:orient="landscape"/>
          <w:pgMar w:top="1587" w:right="1440" w:bottom="1247" w:left="144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DAC84"/>
    <w:multiLevelType w:val="singleLevel"/>
    <w:tmpl w:val="069DA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6C7510E9"/>
    <w:rsid w:val="6C75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2024-03-12T10:54:00Z</dcterms:created>
  <dc:creator>李艳</dc:creator>
  <cp:lastModifiedBy>李艳</cp:lastModifiedBy>
  <dcterms:modified xsi:type="dcterms:W3CDTF">2024-03-12T10:54:45Z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5BDD4D49BE10487D89A84F56942C58E6_11</vt:lpwstr>
  </property>
</Properties>
</file>