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2"/>
        <w:rPr>
          <w:rFonts w:hint="eastAsia" w:ascii="黑体" w:hAnsi="黑体" w:eastAsia="黑体" w:cs="黑体"/>
          <w:spacing w:val="-4"/>
          <w:sz w:val="32"/>
          <w:szCs w:val="32"/>
        </w:rPr>
      </w:pPr>
      <w:bookmarkStart w:id="0" w:name="_Toc21885"/>
      <w:r>
        <w:rPr>
          <w:rFonts w:hint="eastAsia" w:ascii="黑体" w:hAnsi="黑体" w:eastAsia="黑体" w:cs="黑体"/>
          <w:spacing w:val="-4"/>
          <w:sz w:val="32"/>
          <w:szCs w:val="32"/>
        </w:rPr>
        <w:t>附件</w:t>
      </w:r>
      <w:r>
        <w:rPr>
          <w:rFonts w:ascii="黑体" w:hAnsi="黑体" w:eastAsia="黑体" w:cs="黑体"/>
          <w:spacing w:val="-4"/>
          <w:sz w:val="32"/>
          <w:szCs w:val="32"/>
        </w:rPr>
        <w:t>10</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中国建筑工程装饰奖工程复查实施细则</w:t>
      </w:r>
    </w:p>
    <w:p>
      <w:pPr>
        <w:snapToGrid w:val="0"/>
        <w:spacing w:line="360" w:lineRule="auto"/>
        <w:jc w:val="center"/>
        <w:rPr>
          <w:rFonts w:eastAsia="黑体"/>
          <w:b/>
          <w:bCs/>
          <w:szCs w:val="28"/>
        </w:rPr>
      </w:pPr>
      <w:r>
        <w:rPr>
          <w:rFonts w:hint="eastAsia" w:ascii="宋体" w:hAnsi="宋体"/>
          <w:spacing w:val="-4"/>
          <w:sz w:val="30"/>
          <w:szCs w:val="30"/>
        </w:rPr>
        <w:t>建筑幕墙类（设计）</w:t>
      </w:r>
    </w:p>
    <w:p>
      <w:pPr>
        <w:numPr>
          <w:ilvl w:val="0"/>
          <w:numId w:val="1"/>
        </w:numPr>
        <w:adjustRightInd w:val="0"/>
        <w:snapToGrid w:val="0"/>
        <w:spacing w:line="360" w:lineRule="auto"/>
        <w:ind w:firstLine="480" w:firstLineChars="200"/>
        <w:outlineLvl w:val="1"/>
        <w:rPr>
          <w:rFonts w:hint="eastAsia" w:eastAsia="黑体"/>
          <w:bCs/>
          <w:sz w:val="24"/>
        </w:rPr>
      </w:pPr>
      <w:bookmarkStart w:id="1" w:name="_Toc4"/>
      <w:r>
        <w:rPr>
          <w:rFonts w:hint="eastAsia" w:eastAsia="黑体"/>
          <w:bCs/>
          <w:sz w:val="24"/>
        </w:rPr>
        <w:t>评分标准及要求：</w:t>
      </w:r>
      <w:bookmarkEnd w:id="1"/>
    </w:p>
    <w:p>
      <w:pPr>
        <w:adjustRightInd w:val="0"/>
        <w:snapToGrid w:val="0"/>
        <w:spacing w:line="360" w:lineRule="auto"/>
        <w:ind w:firstLine="480" w:firstLineChars="200"/>
        <w:rPr>
          <w:rFonts w:hint="eastAsia"/>
          <w:sz w:val="24"/>
        </w:rPr>
      </w:pPr>
      <w:r>
        <w:rPr>
          <w:rFonts w:hint="eastAsia"/>
          <w:sz w:val="24"/>
        </w:rPr>
        <w:t>设计项目是指含施工图设计的工程设计项目，仅对施工图做深化的设计项目不可申报，面积不低于</w:t>
      </w:r>
      <w:r>
        <w:rPr>
          <w:sz w:val="24"/>
        </w:rPr>
        <w:t>15000</w:t>
      </w:r>
      <w:r>
        <w:rPr>
          <w:rFonts w:hint="eastAsia"/>
          <w:sz w:val="24"/>
        </w:rPr>
        <w:t>㎡。设计项目无论是否申报建筑幕墙工程项目，都可以单独申报设计。</w:t>
      </w:r>
    </w:p>
    <w:p>
      <w:pPr>
        <w:adjustRightInd w:val="0"/>
        <w:snapToGrid w:val="0"/>
        <w:spacing w:line="360" w:lineRule="auto"/>
        <w:ind w:firstLine="480" w:firstLineChars="200"/>
        <w:rPr>
          <w:sz w:val="24"/>
        </w:rPr>
      </w:pPr>
      <w:r>
        <w:rPr>
          <w:rFonts w:hint="eastAsia"/>
          <w:sz w:val="24"/>
        </w:rPr>
        <w:t>鉴于建筑幕墙设计项目的工程性质、类别、规模、使用的材料、采用的工艺等各方面差别较大，故复查设计项目的评分采用扣分法，本细则重点列出了资料（必要文件）、设计说明、施工图、热工计算书、结构计算书、新技术、总体印象等几个方面的常见问题、质量通病和涉及安全与使用的问题，结合复查中查出的问题进行评分。项目复查总分为100分，建议推荐得分在80分以上的项目，详细分项和评分标准见《工程复查实施细则——建筑幕墙类（设计）》。</w:t>
      </w:r>
    </w:p>
    <w:p>
      <w:pPr>
        <w:adjustRightInd w:val="0"/>
        <w:snapToGrid w:val="0"/>
        <w:spacing w:line="360" w:lineRule="auto"/>
        <w:ind w:firstLine="480" w:firstLineChars="200"/>
        <w:rPr>
          <w:sz w:val="24"/>
        </w:rPr>
      </w:pPr>
      <w:r>
        <w:rPr>
          <w:rFonts w:hint="eastAsia"/>
          <w:sz w:val="24"/>
        </w:rPr>
        <w:t>《工程复查实施细则——</w:t>
      </w:r>
      <w:r>
        <w:rPr>
          <w:rFonts w:hint="eastAsia" w:ascii="宋体" w:hAnsi="宋体"/>
          <w:sz w:val="24"/>
        </w:rPr>
        <w:t>建筑幕墙类（设计）</w:t>
      </w:r>
      <w:r>
        <w:rPr>
          <w:rFonts w:hint="eastAsia"/>
          <w:sz w:val="24"/>
        </w:rPr>
        <w:t>》中所列均为设计复查的必查和主查内容，各复查小组可根据项目实际情况做必要的补充和调整，但必查内容不可取消。复查评分严格按照各项要求及分值进行复查评分，并将各大项评分记录在申报表项目复查表中。</w:t>
      </w:r>
    </w:p>
    <w:p>
      <w:pPr>
        <w:adjustRightInd w:val="0"/>
        <w:snapToGrid w:val="0"/>
        <w:spacing w:line="360" w:lineRule="auto"/>
        <w:ind w:firstLine="480" w:firstLineChars="200"/>
        <w:rPr>
          <w:sz w:val="24"/>
        </w:rPr>
      </w:pPr>
      <w:r>
        <w:rPr>
          <w:rFonts w:hint="eastAsia"/>
          <w:sz w:val="24"/>
        </w:rPr>
        <w:t>申报中国建筑工程装饰奖的单位应重视对项目设计中安全隐患的排查、图纸合规性自查及相关必要文件的准备，要求申报单位在申报前对涉及安全、结构、热工、防火、隐蔽资料等方面的情况进行自查，使其符合相应的国家强制性规范和标准以及装饰奖复查要求：</w:t>
      </w:r>
    </w:p>
    <w:p>
      <w:pPr>
        <w:adjustRightInd w:val="0"/>
        <w:snapToGrid w:val="0"/>
        <w:spacing w:line="360" w:lineRule="auto"/>
        <w:ind w:firstLine="480" w:firstLineChars="200"/>
        <w:outlineLvl w:val="1"/>
        <w:rPr>
          <w:rFonts w:eastAsia="黑体"/>
          <w:bCs/>
          <w:sz w:val="24"/>
        </w:rPr>
      </w:pPr>
      <w:bookmarkStart w:id="2" w:name="_Toc29433"/>
      <w:r>
        <w:rPr>
          <w:rFonts w:hint="eastAsia" w:eastAsia="黑体"/>
          <w:bCs/>
          <w:sz w:val="24"/>
        </w:rPr>
        <w:t>二、主要执行规范和标准：</w:t>
      </w:r>
      <w:bookmarkEnd w:id="2"/>
    </w:p>
    <w:p>
      <w:pPr>
        <w:adjustRightInd w:val="0"/>
        <w:snapToGrid w:val="0"/>
        <w:spacing w:line="360" w:lineRule="auto"/>
        <w:ind w:firstLine="480" w:firstLineChars="200"/>
        <w:rPr>
          <w:sz w:val="24"/>
        </w:rPr>
      </w:pPr>
      <w:r>
        <w:rPr>
          <w:rFonts w:hint="eastAsia"/>
          <w:sz w:val="24"/>
        </w:rPr>
        <w:t>1.《房屋建筑制图统一标准》GB</w:t>
      </w:r>
      <w:r>
        <w:rPr>
          <w:sz w:val="24"/>
        </w:rPr>
        <w:t>/</w:t>
      </w:r>
      <w:r>
        <w:rPr>
          <w:rFonts w:hint="eastAsia"/>
          <w:sz w:val="24"/>
        </w:rPr>
        <w:t>T50001-2017</w:t>
      </w:r>
    </w:p>
    <w:p>
      <w:pPr>
        <w:adjustRightInd w:val="0"/>
        <w:snapToGrid w:val="0"/>
        <w:spacing w:line="360" w:lineRule="auto"/>
        <w:ind w:firstLine="480" w:firstLineChars="200"/>
        <w:rPr>
          <w:sz w:val="24"/>
        </w:rPr>
      </w:pPr>
      <w:r>
        <w:rPr>
          <w:rFonts w:hint="eastAsia"/>
          <w:sz w:val="24"/>
        </w:rPr>
        <w:t>2.《民用建筑设计统一标准》GB50352-2019</w:t>
      </w:r>
    </w:p>
    <w:p>
      <w:pPr>
        <w:adjustRightInd w:val="0"/>
        <w:snapToGrid w:val="0"/>
        <w:spacing w:line="360" w:lineRule="auto"/>
        <w:ind w:firstLine="480" w:firstLineChars="200"/>
        <w:rPr>
          <w:sz w:val="24"/>
        </w:rPr>
      </w:pPr>
      <w:r>
        <w:rPr>
          <w:rFonts w:hint="eastAsia"/>
          <w:sz w:val="24"/>
        </w:rPr>
        <w:t>3.《建筑设计防火规范》GB50016-2014（2018年修订版）</w:t>
      </w:r>
    </w:p>
    <w:p>
      <w:pPr>
        <w:adjustRightInd w:val="0"/>
        <w:snapToGrid w:val="0"/>
        <w:spacing w:line="360" w:lineRule="auto"/>
        <w:ind w:firstLine="480" w:firstLineChars="200"/>
        <w:rPr>
          <w:sz w:val="24"/>
        </w:rPr>
      </w:pPr>
      <w:r>
        <w:rPr>
          <w:rFonts w:hint="eastAsia"/>
          <w:sz w:val="24"/>
        </w:rPr>
        <w:t>4.《建筑防火封堵应用技术标准》GB/T51410-2020</w:t>
      </w:r>
    </w:p>
    <w:p>
      <w:pPr>
        <w:adjustRightInd w:val="0"/>
        <w:snapToGrid w:val="0"/>
        <w:spacing w:line="360" w:lineRule="auto"/>
        <w:ind w:firstLine="480" w:firstLineChars="200"/>
        <w:rPr>
          <w:sz w:val="24"/>
        </w:rPr>
      </w:pPr>
      <w:r>
        <w:rPr>
          <w:rFonts w:hint="eastAsia"/>
          <w:sz w:val="24"/>
        </w:rPr>
        <w:t>5.《建筑防烟排烟系统技术标准》GB51251-2017</w:t>
      </w:r>
    </w:p>
    <w:p>
      <w:pPr>
        <w:adjustRightInd w:val="0"/>
        <w:snapToGrid w:val="0"/>
        <w:spacing w:line="360" w:lineRule="auto"/>
        <w:ind w:firstLine="480" w:firstLineChars="200"/>
        <w:rPr>
          <w:sz w:val="24"/>
        </w:rPr>
      </w:pPr>
      <w:r>
        <w:rPr>
          <w:rFonts w:hint="eastAsia"/>
          <w:sz w:val="24"/>
        </w:rPr>
        <w:t>6.《公共建筑节能设计标准》GB50189-2015</w:t>
      </w:r>
    </w:p>
    <w:p>
      <w:pPr>
        <w:adjustRightInd w:val="0"/>
        <w:snapToGrid w:val="0"/>
        <w:spacing w:line="360" w:lineRule="auto"/>
        <w:ind w:firstLine="480" w:firstLineChars="200"/>
        <w:rPr>
          <w:sz w:val="24"/>
        </w:rPr>
      </w:pPr>
      <w:r>
        <w:rPr>
          <w:rFonts w:hint="eastAsia"/>
          <w:sz w:val="24"/>
        </w:rPr>
        <w:t>7.《建筑物防雷设计规范》GB50057-2010</w:t>
      </w:r>
    </w:p>
    <w:p>
      <w:pPr>
        <w:adjustRightInd w:val="0"/>
        <w:snapToGrid w:val="0"/>
        <w:spacing w:line="360" w:lineRule="auto"/>
        <w:ind w:firstLine="480" w:firstLineChars="200"/>
        <w:rPr>
          <w:sz w:val="24"/>
        </w:rPr>
      </w:pPr>
      <w:r>
        <w:rPr>
          <w:rFonts w:hint="eastAsia"/>
          <w:sz w:val="24"/>
        </w:rPr>
        <w:t>8.《民用建筑电气设计标准》GB51348-2019</w:t>
      </w:r>
    </w:p>
    <w:p>
      <w:pPr>
        <w:adjustRightInd w:val="0"/>
        <w:snapToGrid w:val="0"/>
        <w:spacing w:line="360" w:lineRule="auto"/>
        <w:ind w:firstLine="480" w:firstLineChars="200"/>
        <w:rPr>
          <w:sz w:val="24"/>
        </w:rPr>
      </w:pPr>
      <w:r>
        <w:rPr>
          <w:rFonts w:hint="eastAsia"/>
          <w:sz w:val="24"/>
        </w:rPr>
        <w:t>9.《建筑工程风洞实验方法标准》JGJ/T338-2014</w:t>
      </w:r>
    </w:p>
    <w:p>
      <w:pPr>
        <w:adjustRightInd w:val="0"/>
        <w:snapToGrid w:val="0"/>
        <w:spacing w:line="360" w:lineRule="auto"/>
        <w:ind w:firstLine="480" w:firstLineChars="200"/>
        <w:rPr>
          <w:sz w:val="24"/>
        </w:rPr>
      </w:pPr>
      <w:r>
        <w:rPr>
          <w:rFonts w:hint="eastAsia"/>
          <w:sz w:val="24"/>
        </w:rPr>
        <w:t>10.《建筑幕墙空气声隔声性能分级及检测方法》GB/T39526-2020</w:t>
      </w:r>
    </w:p>
    <w:p>
      <w:pPr>
        <w:adjustRightInd w:val="0"/>
        <w:snapToGrid w:val="0"/>
        <w:spacing w:line="360" w:lineRule="auto"/>
        <w:ind w:firstLine="480" w:firstLineChars="200"/>
        <w:rPr>
          <w:sz w:val="24"/>
        </w:rPr>
      </w:pPr>
      <w:r>
        <w:rPr>
          <w:rFonts w:hint="eastAsia"/>
          <w:sz w:val="24"/>
        </w:rPr>
        <w:t>11.《建筑门窗幕墙用钢化玻璃》JG/T455-2014</w:t>
      </w:r>
    </w:p>
    <w:p>
      <w:pPr>
        <w:adjustRightInd w:val="0"/>
        <w:snapToGrid w:val="0"/>
        <w:spacing w:line="360" w:lineRule="auto"/>
        <w:ind w:firstLine="480" w:firstLineChars="200"/>
        <w:rPr>
          <w:sz w:val="24"/>
        </w:rPr>
      </w:pPr>
      <w:r>
        <w:rPr>
          <w:rFonts w:hint="eastAsia"/>
          <w:sz w:val="24"/>
        </w:rPr>
        <w:t>12.《建筑玻璃采光顶技术要求》JG/T231-2018</w:t>
      </w:r>
    </w:p>
    <w:p>
      <w:pPr>
        <w:adjustRightInd w:val="0"/>
        <w:snapToGrid w:val="0"/>
        <w:spacing w:line="360" w:lineRule="auto"/>
        <w:ind w:firstLine="480" w:firstLineChars="200"/>
        <w:rPr>
          <w:sz w:val="24"/>
        </w:rPr>
      </w:pPr>
      <w:r>
        <w:rPr>
          <w:rFonts w:hint="eastAsia"/>
          <w:sz w:val="24"/>
        </w:rPr>
        <w:t>13.《建筑幕墙耐撞击性能分级及检测方法》GB/T38264-2019</w:t>
      </w:r>
    </w:p>
    <w:p>
      <w:pPr>
        <w:adjustRightInd w:val="0"/>
        <w:snapToGrid w:val="0"/>
        <w:spacing w:line="360" w:lineRule="auto"/>
        <w:ind w:firstLine="480" w:firstLineChars="200"/>
        <w:rPr>
          <w:sz w:val="24"/>
        </w:rPr>
      </w:pPr>
      <w:r>
        <w:rPr>
          <w:rFonts w:hint="eastAsia"/>
          <w:sz w:val="24"/>
        </w:rPr>
        <w:t>14.《建筑结构可靠性设计统一标准》GB50068-2018</w:t>
      </w:r>
    </w:p>
    <w:p>
      <w:pPr>
        <w:adjustRightInd w:val="0"/>
        <w:snapToGrid w:val="0"/>
        <w:spacing w:line="360" w:lineRule="auto"/>
        <w:ind w:firstLine="480" w:firstLineChars="200"/>
        <w:rPr>
          <w:sz w:val="24"/>
        </w:rPr>
      </w:pPr>
      <w:r>
        <w:rPr>
          <w:rFonts w:hint="eastAsia"/>
          <w:sz w:val="24"/>
        </w:rPr>
        <w:t>15.《建筑结构荷载规范》GB50009-2012</w:t>
      </w:r>
    </w:p>
    <w:p>
      <w:pPr>
        <w:adjustRightInd w:val="0"/>
        <w:snapToGrid w:val="0"/>
        <w:spacing w:line="360" w:lineRule="auto"/>
        <w:ind w:firstLine="480" w:firstLineChars="200"/>
        <w:rPr>
          <w:sz w:val="24"/>
        </w:rPr>
      </w:pPr>
      <w:r>
        <w:rPr>
          <w:rFonts w:hint="eastAsia"/>
          <w:sz w:val="24"/>
        </w:rPr>
        <w:t>16.《建筑抗震设计规范》GB50011-2010（2016年修订版）</w:t>
      </w:r>
    </w:p>
    <w:p>
      <w:pPr>
        <w:adjustRightInd w:val="0"/>
        <w:snapToGrid w:val="0"/>
        <w:spacing w:line="360" w:lineRule="auto"/>
        <w:ind w:firstLine="480" w:firstLineChars="200"/>
        <w:rPr>
          <w:sz w:val="24"/>
        </w:rPr>
      </w:pPr>
      <w:r>
        <w:rPr>
          <w:rFonts w:hint="eastAsia"/>
          <w:sz w:val="24"/>
        </w:rPr>
        <w:t>17.《钢结构设计标准》GB50017-2017</w:t>
      </w:r>
    </w:p>
    <w:p>
      <w:pPr>
        <w:adjustRightInd w:val="0"/>
        <w:snapToGrid w:val="0"/>
        <w:spacing w:line="360" w:lineRule="auto"/>
        <w:ind w:firstLine="480" w:firstLineChars="200"/>
        <w:rPr>
          <w:sz w:val="24"/>
        </w:rPr>
      </w:pPr>
      <w:r>
        <w:rPr>
          <w:rFonts w:hint="eastAsia"/>
          <w:sz w:val="24"/>
        </w:rPr>
        <w:t>18.《冷弯薄壁型钢结构技术规范》GB50018-2002</w:t>
      </w:r>
    </w:p>
    <w:p>
      <w:pPr>
        <w:adjustRightInd w:val="0"/>
        <w:snapToGrid w:val="0"/>
        <w:spacing w:line="360" w:lineRule="auto"/>
        <w:ind w:firstLine="480" w:firstLineChars="200"/>
        <w:rPr>
          <w:sz w:val="24"/>
        </w:rPr>
      </w:pPr>
      <w:r>
        <w:rPr>
          <w:rFonts w:hint="eastAsia"/>
          <w:sz w:val="24"/>
        </w:rPr>
        <w:t>19.《铝合金结构设计规范》GB50429-2007</w:t>
      </w:r>
    </w:p>
    <w:p>
      <w:pPr>
        <w:adjustRightInd w:val="0"/>
        <w:snapToGrid w:val="0"/>
        <w:spacing w:line="360" w:lineRule="auto"/>
        <w:ind w:firstLine="480" w:firstLineChars="200"/>
        <w:rPr>
          <w:sz w:val="24"/>
        </w:rPr>
      </w:pPr>
      <w:r>
        <w:rPr>
          <w:rFonts w:hint="eastAsia"/>
          <w:sz w:val="24"/>
        </w:rPr>
        <w:t>20.《混凝土结构后锚固技术规程》JGJ145-2013</w:t>
      </w:r>
    </w:p>
    <w:p>
      <w:pPr>
        <w:adjustRightInd w:val="0"/>
        <w:snapToGrid w:val="0"/>
        <w:spacing w:line="360" w:lineRule="auto"/>
        <w:ind w:firstLine="480" w:firstLineChars="200"/>
        <w:rPr>
          <w:sz w:val="24"/>
        </w:rPr>
      </w:pPr>
      <w:r>
        <w:rPr>
          <w:rFonts w:hint="eastAsia"/>
          <w:sz w:val="24"/>
        </w:rPr>
        <w:t>21.《中国地震烈度表》GB/T17742-2020</w:t>
      </w:r>
    </w:p>
    <w:p>
      <w:pPr>
        <w:adjustRightInd w:val="0"/>
        <w:snapToGrid w:val="0"/>
        <w:spacing w:line="360" w:lineRule="auto"/>
        <w:ind w:firstLine="480" w:firstLineChars="200"/>
        <w:rPr>
          <w:sz w:val="24"/>
        </w:rPr>
      </w:pPr>
      <w:r>
        <w:rPr>
          <w:rFonts w:hint="eastAsia"/>
          <w:sz w:val="24"/>
        </w:rPr>
        <w:t>22.《工程结构可靠性设计统一标准》GB50153-2008</w:t>
      </w:r>
    </w:p>
    <w:p>
      <w:pPr>
        <w:adjustRightInd w:val="0"/>
        <w:snapToGrid w:val="0"/>
        <w:spacing w:line="360" w:lineRule="auto"/>
        <w:ind w:firstLine="480" w:firstLineChars="200"/>
        <w:rPr>
          <w:sz w:val="24"/>
        </w:rPr>
      </w:pPr>
      <w:r>
        <w:rPr>
          <w:rFonts w:hint="eastAsia"/>
          <w:sz w:val="24"/>
        </w:rPr>
        <w:t>23.《建筑玻璃点支承装置》JG/T138-2010</w:t>
      </w:r>
    </w:p>
    <w:p>
      <w:pPr>
        <w:adjustRightInd w:val="0"/>
        <w:snapToGrid w:val="0"/>
        <w:spacing w:line="360" w:lineRule="auto"/>
        <w:ind w:firstLine="480" w:firstLineChars="200"/>
        <w:rPr>
          <w:sz w:val="24"/>
        </w:rPr>
      </w:pPr>
      <w:r>
        <w:rPr>
          <w:rFonts w:hint="eastAsia"/>
          <w:sz w:val="24"/>
        </w:rPr>
        <w:t>24.《建筑钢结构防腐蚀技术规程(附条文说明)》JGJ/T251-2011</w:t>
      </w:r>
    </w:p>
    <w:p>
      <w:pPr>
        <w:adjustRightInd w:val="0"/>
        <w:snapToGrid w:val="0"/>
        <w:spacing w:line="360" w:lineRule="auto"/>
        <w:ind w:firstLine="480" w:firstLineChars="200"/>
        <w:rPr>
          <w:sz w:val="24"/>
        </w:rPr>
      </w:pPr>
      <w:r>
        <w:rPr>
          <w:rFonts w:hint="eastAsia"/>
          <w:sz w:val="24"/>
        </w:rPr>
        <w:t>25.《钢结构工程施工规范》GB50755-2012</w:t>
      </w:r>
    </w:p>
    <w:p>
      <w:pPr>
        <w:adjustRightInd w:val="0"/>
        <w:snapToGrid w:val="0"/>
        <w:spacing w:line="360" w:lineRule="auto"/>
        <w:ind w:firstLine="480" w:firstLineChars="200"/>
        <w:rPr>
          <w:sz w:val="24"/>
        </w:rPr>
      </w:pPr>
      <w:r>
        <w:rPr>
          <w:rFonts w:hint="eastAsia"/>
          <w:sz w:val="24"/>
        </w:rPr>
        <w:t>26.《索结构技术规程》JGJ257-2012</w:t>
      </w:r>
    </w:p>
    <w:p>
      <w:pPr>
        <w:adjustRightInd w:val="0"/>
        <w:snapToGrid w:val="0"/>
        <w:spacing w:line="360" w:lineRule="auto"/>
        <w:ind w:firstLine="480" w:firstLineChars="200"/>
        <w:rPr>
          <w:sz w:val="24"/>
        </w:rPr>
      </w:pPr>
      <w:r>
        <w:rPr>
          <w:rFonts w:hint="eastAsia"/>
          <w:sz w:val="24"/>
        </w:rPr>
        <w:t>27.《中国地震动参数区划图》GB18306-2015</w:t>
      </w:r>
    </w:p>
    <w:p>
      <w:pPr>
        <w:adjustRightInd w:val="0"/>
        <w:snapToGrid w:val="0"/>
        <w:spacing w:line="360" w:lineRule="auto"/>
        <w:ind w:firstLine="480" w:firstLineChars="200"/>
        <w:rPr>
          <w:sz w:val="24"/>
        </w:rPr>
      </w:pPr>
      <w:r>
        <w:rPr>
          <w:rFonts w:hint="eastAsia"/>
          <w:sz w:val="24"/>
        </w:rPr>
        <w:t>28.《玻璃幕墙工程技术规范》JGJ102-2003</w:t>
      </w:r>
    </w:p>
    <w:p>
      <w:pPr>
        <w:adjustRightInd w:val="0"/>
        <w:snapToGrid w:val="0"/>
        <w:spacing w:line="360" w:lineRule="auto"/>
        <w:ind w:firstLine="480" w:firstLineChars="200"/>
        <w:rPr>
          <w:sz w:val="24"/>
        </w:rPr>
      </w:pPr>
      <w:r>
        <w:rPr>
          <w:rFonts w:hint="eastAsia"/>
          <w:sz w:val="24"/>
        </w:rPr>
        <w:t>29.《金属与石材幕墙工程技术规范》JGJ133-2001</w:t>
      </w:r>
    </w:p>
    <w:p>
      <w:pPr>
        <w:adjustRightInd w:val="0"/>
        <w:snapToGrid w:val="0"/>
        <w:spacing w:line="360" w:lineRule="auto"/>
        <w:ind w:firstLine="480" w:firstLineChars="200"/>
        <w:rPr>
          <w:sz w:val="24"/>
        </w:rPr>
      </w:pPr>
      <w:r>
        <w:rPr>
          <w:rFonts w:hint="eastAsia"/>
          <w:sz w:val="24"/>
        </w:rPr>
        <w:t>30.《建筑幕墙》GB/T21086-2007</w:t>
      </w:r>
    </w:p>
    <w:p>
      <w:pPr>
        <w:adjustRightInd w:val="0"/>
        <w:snapToGrid w:val="0"/>
        <w:spacing w:line="360" w:lineRule="auto"/>
        <w:ind w:firstLine="480" w:firstLineChars="200"/>
        <w:rPr>
          <w:sz w:val="24"/>
        </w:rPr>
      </w:pPr>
      <w:r>
        <w:rPr>
          <w:rFonts w:hint="eastAsia"/>
          <w:sz w:val="24"/>
        </w:rPr>
        <w:t>31.《玻璃幕墙光热性能》GB/T18091-2015</w:t>
      </w:r>
    </w:p>
    <w:p>
      <w:pPr>
        <w:adjustRightInd w:val="0"/>
        <w:snapToGrid w:val="0"/>
        <w:spacing w:line="360" w:lineRule="auto"/>
        <w:ind w:firstLine="480" w:firstLineChars="200"/>
        <w:rPr>
          <w:sz w:val="24"/>
        </w:rPr>
      </w:pPr>
      <w:r>
        <w:rPr>
          <w:rFonts w:hint="eastAsia"/>
          <w:sz w:val="24"/>
        </w:rPr>
        <w:t>32.《建筑玻璃应用技术规程》JGJ113-2015</w:t>
      </w:r>
    </w:p>
    <w:p>
      <w:pPr>
        <w:adjustRightInd w:val="0"/>
        <w:snapToGrid w:val="0"/>
        <w:spacing w:line="360" w:lineRule="auto"/>
        <w:ind w:firstLine="480" w:firstLineChars="200"/>
        <w:rPr>
          <w:sz w:val="24"/>
        </w:rPr>
      </w:pPr>
      <w:r>
        <w:rPr>
          <w:rFonts w:hint="eastAsia"/>
          <w:sz w:val="24"/>
        </w:rPr>
        <w:t>33.《采光顶与金属屋面技术规程》JGJ255-2012</w:t>
      </w:r>
    </w:p>
    <w:p>
      <w:pPr>
        <w:adjustRightInd w:val="0"/>
        <w:snapToGrid w:val="0"/>
        <w:spacing w:line="360" w:lineRule="auto"/>
        <w:ind w:firstLine="480" w:firstLineChars="200"/>
        <w:rPr>
          <w:sz w:val="24"/>
        </w:rPr>
      </w:pPr>
      <w:r>
        <w:rPr>
          <w:rFonts w:hint="eastAsia"/>
          <w:sz w:val="24"/>
        </w:rPr>
        <w:t>34.《人造板材幕墙工程技术规范》JGJ336-2016</w:t>
      </w:r>
    </w:p>
    <w:p>
      <w:pPr>
        <w:adjustRightInd w:val="0"/>
        <w:snapToGrid w:val="0"/>
        <w:spacing w:line="360" w:lineRule="auto"/>
        <w:ind w:firstLine="480" w:firstLineChars="200"/>
        <w:rPr>
          <w:sz w:val="24"/>
        </w:rPr>
      </w:pPr>
      <w:r>
        <w:rPr>
          <w:rFonts w:hint="eastAsia"/>
          <w:sz w:val="24"/>
        </w:rPr>
        <w:t>35.《建筑玻璃幕墙粘接结构可靠性试验方法》GB/T34554-2017</w:t>
      </w:r>
    </w:p>
    <w:p>
      <w:pPr>
        <w:adjustRightInd w:val="0"/>
        <w:snapToGrid w:val="0"/>
        <w:spacing w:line="360" w:lineRule="auto"/>
        <w:ind w:firstLine="480" w:firstLineChars="200"/>
        <w:rPr>
          <w:sz w:val="24"/>
        </w:rPr>
      </w:pPr>
      <w:r>
        <w:rPr>
          <w:rFonts w:hint="eastAsia"/>
          <w:sz w:val="24"/>
        </w:rPr>
        <w:t>36.《建筑采光顶气密、水密、抗风压性能检测方法》GB/T34555-2017</w:t>
      </w:r>
    </w:p>
    <w:p>
      <w:pPr>
        <w:adjustRightInd w:val="0"/>
        <w:snapToGrid w:val="0"/>
        <w:spacing w:line="360" w:lineRule="auto"/>
        <w:ind w:firstLine="480" w:firstLineChars="200"/>
        <w:rPr>
          <w:sz w:val="24"/>
        </w:rPr>
      </w:pPr>
      <w:r>
        <w:rPr>
          <w:rFonts w:hint="eastAsia"/>
          <w:sz w:val="24"/>
        </w:rPr>
        <w:t>37.《建筑幕墙术语》GB/T34327-2017</w:t>
      </w:r>
    </w:p>
    <w:p>
      <w:pPr>
        <w:adjustRightInd w:val="0"/>
        <w:snapToGrid w:val="0"/>
        <w:spacing w:line="360" w:lineRule="auto"/>
        <w:ind w:firstLine="480" w:firstLineChars="200"/>
        <w:rPr>
          <w:sz w:val="24"/>
        </w:rPr>
      </w:pPr>
      <w:r>
        <w:rPr>
          <w:rFonts w:hint="eastAsia"/>
          <w:sz w:val="24"/>
        </w:rPr>
        <w:t>38.《屋面工程技术规范》GB50345－2012</w:t>
      </w:r>
    </w:p>
    <w:p>
      <w:pPr>
        <w:adjustRightInd w:val="0"/>
        <w:snapToGrid w:val="0"/>
        <w:spacing w:line="360" w:lineRule="auto"/>
        <w:ind w:firstLine="480" w:firstLineChars="200"/>
        <w:rPr>
          <w:sz w:val="24"/>
        </w:rPr>
      </w:pPr>
      <w:r>
        <w:rPr>
          <w:rFonts w:hint="eastAsia"/>
          <w:sz w:val="24"/>
        </w:rPr>
        <w:t>39.《玻璃幕墙工程质量检验标准》JGJ/T139-2020</w:t>
      </w:r>
    </w:p>
    <w:p>
      <w:pPr>
        <w:adjustRightInd w:val="0"/>
        <w:snapToGrid w:val="0"/>
        <w:spacing w:line="360" w:lineRule="auto"/>
        <w:ind w:firstLine="480" w:firstLineChars="200"/>
        <w:rPr>
          <w:sz w:val="24"/>
        </w:rPr>
      </w:pPr>
      <w:r>
        <w:rPr>
          <w:rFonts w:hint="eastAsia"/>
          <w:sz w:val="24"/>
        </w:rPr>
        <w:t>40.《建筑幕墙气密、水密、抗风压性能检测方法》GB/T15227-2019</w:t>
      </w:r>
    </w:p>
    <w:p>
      <w:pPr>
        <w:adjustRightInd w:val="0"/>
        <w:snapToGrid w:val="0"/>
        <w:spacing w:line="360" w:lineRule="auto"/>
        <w:ind w:firstLine="480" w:firstLineChars="200"/>
        <w:rPr>
          <w:sz w:val="24"/>
        </w:rPr>
      </w:pPr>
      <w:r>
        <w:rPr>
          <w:rFonts w:hint="eastAsia"/>
          <w:sz w:val="24"/>
        </w:rPr>
        <w:t>41.《建筑幕墙层间变形性能分级及检查方法》GB/T18250-2015</w:t>
      </w:r>
    </w:p>
    <w:p>
      <w:pPr>
        <w:adjustRightInd w:val="0"/>
        <w:snapToGrid w:val="0"/>
        <w:spacing w:line="360" w:lineRule="auto"/>
        <w:ind w:firstLine="480" w:firstLineChars="200"/>
        <w:rPr>
          <w:sz w:val="24"/>
        </w:rPr>
      </w:pPr>
      <w:r>
        <w:rPr>
          <w:rFonts w:hint="eastAsia"/>
          <w:sz w:val="24"/>
        </w:rPr>
        <w:t>42.《建筑外门窗气密、水密、抗风压性能检测方法》GB/T7106-2019</w:t>
      </w:r>
    </w:p>
    <w:p>
      <w:pPr>
        <w:adjustRightInd w:val="0"/>
        <w:snapToGrid w:val="0"/>
        <w:spacing w:line="360" w:lineRule="auto"/>
        <w:ind w:firstLine="480" w:firstLineChars="200"/>
        <w:rPr>
          <w:sz w:val="24"/>
        </w:rPr>
      </w:pPr>
      <w:r>
        <w:rPr>
          <w:rFonts w:hint="eastAsia"/>
          <w:sz w:val="24"/>
        </w:rPr>
        <w:t>43.《建筑门窗玻璃幕墙热工计算规程》JGJ/T151-2008</w:t>
      </w:r>
    </w:p>
    <w:p>
      <w:pPr>
        <w:adjustRightInd w:val="0"/>
        <w:snapToGrid w:val="0"/>
        <w:spacing w:line="360" w:lineRule="auto"/>
        <w:ind w:firstLine="480" w:firstLineChars="200"/>
        <w:outlineLvl w:val="2"/>
        <w:rPr>
          <w:sz w:val="24"/>
        </w:rPr>
      </w:pPr>
      <w:bookmarkStart w:id="3" w:name="_Toc5866"/>
      <w:r>
        <w:rPr>
          <w:rFonts w:hint="eastAsia"/>
          <w:sz w:val="24"/>
        </w:rPr>
        <w:t>44.《平板玻璃》GB11614-2009</w:t>
      </w:r>
      <w:bookmarkEnd w:id="3"/>
    </w:p>
    <w:p>
      <w:pPr>
        <w:adjustRightInd w:val="0"/>
        <w:snapToGrid w:val="0"/>
        <w:spacing w:line="360" w:lineRule="auto"/>
        <w:ind w:firstLine="480" w:firstLineChars="200"/>
        <w:rPr>
          <w:sz w:val="24"/>
        </w:rPr>
      </w:pPr>
      <w:r>
        <w:rPr>
          <w:rFonts w:hint="eastAsia"/>
          <w:sz w:val="24"/>
        </w:rPr>
        <w:t>45.《建筑用安全玻璃 第1部 防火玻璃》GB15763.1-2009</w:t>
      </w:r>
    </w:p>
    <w:p>
      <w:pPr>
        <w:adjustRightInd w:val="0"/>
        <w:snapToGrid w:val="0"/>
        <w:spacing w:line="360" w:lineRule="auto"/>
        <w:ind w:firstLine="480" w:firstLineChars="200"/>
        <w:rPr>
          <w:sz w:val="24"/>
        </w:rPr>
      </w:pPr>
      <w:r>
        <w:rPr>
          <w:rFonts w:hint="eastAsia"/>
          <w:sz w:val="24"/>
        </w:rPr>
        <w:t>46.《建筑用安全玻璃 第2部分：钢化玻璃》GB15763.2-2005</w:t>
      </w:r>
    </w:p>
    <w:p>
      <w:pPr>
        <w:adjustRightInd w:val="0"/>
        <w:snapToGrid w:val="0"/>
        <w:spacing w:line="360" w:lineRule="auto"/>
        <w:ind w:firstLine="480" w:firstLineChars="200"/>
        <w:rPr>
          <w:sz w:val="24"/>
        </w:rPr>
      </w:pPr>
      <w:r>
        <w:rPr>
          <w:rFonts w:hint="eastAsia"/>
          <w:sz w:val="24"/>
        </w:rPr>
        <w:t>47.《建筑用安全玻璃 第3部 夹层玻璃》GB15763.3-2009</w:t>
      </w:r>
    </w:p>
    <w:p>
      <w:pPr>
        <w:adjustRightInd w:val="0"/>
        <w:snapToGrid w:val="0"/>
        <w:spacing w:line="360" w:lineRule="auto"/>
        <w:ind w:firstLine="480" w:firstLineChars="200"/>
        <w:outlineLvl w:val="2"/>
        <w:rPr>
          <w:sz w:val="24"/>
        </w:rPr>
      </w:pPr>
      <w:bookmarkStart w:id="4" w:name="_Toc30548"/>
      <w:r>
        <w:rPr>
          <w:rFonts w:hint="eastAsia"/>
          <w:sz w:val="24"/>
        </w:rPr>
        <w:t>48.《半钢化玻璃》GB/T17841-2008</w:t>
      </w:r>
      <w:bookmarkEnd w:id="4"/>
    </w:p>
    <w:p>
      <w:pPr>
        <w:adjustRightInd w:val="0"/>
        <w:snapToGrid w:val="0"/>
        <w:spacing w:line="360" w:lineRule="auto"/>
        <w:ind w:firstLine="480" w:firstLineChars="200"/>
        <w:rPr>
          <w:sz w:val="24"/>
        </w:rPr>
      </w:pPr>
      <w:r>
        <w:rPr>
          <w:rFonts w:hint="eastAsia"/>
          <w:sz w:val="24"/>
        </w:rPr>
        <w:t>49.《镀膜玻璃 第1部分 阳光控制镀膜玻璃》GB/T18915.1-2013</w:t>
      </w:r>
    </w:p>
    <w:p>
      <w:pPr>
        <w:adjustRightInd w:val="0"/>
        <w:snapToGrid w:val="0"/>
        <w:spacing w:line="360" w:lineRule="auto"/>
        <w:ind w:firstLine="480" w:firstLineChars="200"/>
        <w:rPr>
          <w:sz w:val="24"/>
        </w:rPr>
      </w:pPr>
      <w:r>
        <w:rPr>
          <w:rFonts w:hint="eastAsia"/>
          <w:sz w:val="24"/>
        </w:rPr>
        <w:t>50.《镀膜玻璃 第2部分 低辐射镀膜玻璃》GB/T18915.2-2013</w:t>
      </w:r>
    </w:p>
    <w:p>
      <w:pPr>
        <w:adjustRightInd w:val="0"/>
        <w:snapToGrid w:val="0"/>
        <w:spacing w:line="360" w:lineRule="auto"/>
        <w:ind w:firstLine="480" w:firstLineChars="200"/>
        <w:outlineLvl w:val="2"/>
        <w:rPr>
          <w:sz w:val="24"/>
        </w:rPr>
      </w:pPr>
      <w:bookmarkStart w:id="5" w:name="_Toc26959"/>
      <w:r>
        <w:rPr>
          <w:rFonts w:hint="eastAsia"/>
          <w:sz w:val="24"/>
        </w:rPr>
        <w:t>51.《中空玻璃》GB/T11944-2012</w:t>
      </w:r>
      <w:bookmarkEnd w:id="5"/>
    </w:p>
    <w:p>
      <w:pPr>
        <w:adjustRightInd w:val="0"/>
        <w:snapToGrid w:val="0"/>
        <w:spacing w:line="360" w:lineRule="auto"/>
        <w:ind w:firstLine="480" w:firstLineChars="200"/>
        <w:rPr>
          <w:sz w:val="24"/>
        </w:rPr>
      </w:pPr>
      <w:r>
        <w:rPr>
          <w:rFonts w:hint="eastAsia"/>
          <w:sz w:val="24"/>
        </w:rPr>
        <w:t>52.《铝合金建筑型材 第1部分：基材》GB/T5237.1-2017</w:t>
      </w:r>
    </w:p>
    <w:p>
      <w:pPr>
        <w:adjustRightInd w:val="0"/>
        <w:snapToGrid w:val="0"/>
        <w:spacing w:line="360" w:lineRule="auto"/>
        <w:ind w:firstLine="480" w:firstLineChars="200"/>
        <w:rPr>
          <w:sz w:val="24"/>
        </w:rPr>
      </w:pPr>
      <w:r>
        <w:rPr>
          <w:rFonts w:hint="eastAsia"/>
          <w:sz w:val="24"/>
        </w:rPr>
        <w:t>53.《铝合金建筑型材 第2部分：阳极氧化型材》GB/T5237.2-2017</w:t>
      </w:r>
    </w:p>
    <w:p>
      <w:pPr>
        <w:adjustRightInd w:val="0"/>
        <w:snapToGrid w:val="0"/>
        <w:spacing w:line="360" w:lineRule="auto"/>
        <w:ind w:firstLine="480" w:firstLineChars="200"/>
        <w:rPr>
          <w:sz w:val="24"/>
        </w:rPr>
      </w:pPr>
      <w:r>
        <w:rPr>
          <w:rFonts w:hint="eastAsia"/>
          <w:sz w:val="24"/>
        </w:rPr>
        <w:t>54.《铝合金建筑型材 第3部分：电泳涂漆型材》GB/T5237.3-2017</w:t>
      </w:r>
    </w:p>
    <w:p>
      <w:pPr>
        <w:adjustRightInd w:val="0"/>
        <w:snapToGrid w:val="0"/>
        <w:spacing w:line="360" w:lineRule="auto"/>
        <w:ind w:firstLine="480" w:firstLineChars="200"/>
        <w:rPr>
          <w:sz w:val="24"/>
        </w:rPr>
      </w:pPr>
      <w:r>
        <w:rPr>
          <w:rFonts w:hint="eastAsia"/>
          <w:sz w:val="24"/>
        </w:rPr>
        <w:t>55.《铝合金建筑型材 第4部分：喷粉型材》GB/T5237.4-2017</w:t>
      </w:r>
    </w:p>
    <w:p>
      <w:pPr>
        <w:adjustRightInd w:val="0"/>
        <w:snapToGrid w:val="0"/>
        <w:spacing w:line="360" w:lineRule="auto"/>
        <w:ind w:firstLine="480" w:firstLineChars="200"/>
        <w:rPr>
          <w:sz w:val="24"/>
        </w:rPr>
      </w:pPr>
      <w:r>
        <w:rPr>
          <w:rFonts w:hint="eastAsia"/>
          <w:sz w:val="24"/>
        </w:rPr>
        <w:t>56.《铝合金建筑型材 第5部分：喷漆型材》GB/T5237.5-2017</w:t>
      </w:r>
    </w:p>
    <w:p>
      <w:pPr>
        <w:adjustRightInd w:val="0"/>
        <w:snapToGrid w:val="0"/>
        <w:spacing w:line="360" w:lineRule="auto"/>
        <w:ind w:firstLine="480" w:firstLineChars="200"/>
        <w:rPr>
          <w:sz w:val="24"/>
        </w:rPr>
      </w:pPr>
      <w:r>
        <w:rPr>
          <w:rFonts w:hint="eastAsia"/>
          <w:sz w:val="24"/>
        </w:rPr>
        <w:t>57.《铝合金建筑型材 第6部分：隔热型材》GB/T5237.6-2017</w:t>
      </w:r>
    </w:p>
    <w:p>
      <w:pPr>
        <w:adjustRightInd w:val="0"/>
        <w:snapToGrid w:val="0"/>
        <w:spacing w:line="360" w:lineRule="auto"/>
        <w:ind w:firstLine="480" w:firstLineChars="200"/>
        <w:outlineLvl w:val="2"/>
        <w:rPr>
          <w:sz w:val="24"/>
        </w:rPr>
      </w:pPr>
      <w:bookmarkStart w:id="6" w:name="_Toc12775"/>
      <w:r>
        <w:rPr>
          <w:rFonts w:hint="eastAsia"/>
          <w:sz w:val="24"/>
        </w:rPr>
        <w:t>58.《建筑用隔热铝合金型材》JG/T175-2011</w:t>
      </w:r>
      <w:bookmarkEnd w:id="6"/>
    </w:p>
    <w:p>
      <w:pPr>
        <w:adjustRightInd w:val="0"/>
        <w:snapToGrid w:val="0"/>
        <w:spacing w:line="360" w:lineRule="auto"/>
        <w:ind w:firstLine="480" w:firstLineChars="200"/>
        <w:rPr>
          <w:sz w:val="24"/>
        </w:rPr>
      </w:pPr>
      <w:r>
        <w:rPr>
          <w:rFonts w:hint="eastAsia"/>
          <w:sz w:val="24"/>
        </w:rPr>
        <w:t>59.《一般工业用铝及铝合金板、带材》GB/T3880.1～3-2012</w:t>
      </w:r>
    </w:p>
    <w:p>
      <w:pPr>
        <w:adjustRightInd w:val="0"/>
        <w:snapToGrid w:val="0"/>
        <w:spacing w:line="360" w:lineRule="auto"/>
        <w:ind w:firstLine="480" w:firstLineChars="200"/>
        <w:rPr>
          <w:sz w:val="24"/>
        </w:rPr>
      </w:pPr>
      <w:r>
        <w:rPr>
          <w:rFonts w:hint="eastAsia"/>
          <w:sz w:val="24"/>
        </w:rPr>
        <w:t>60.《建筑幕墙用铝塑复合板》GB/T17748-2016</w:t>
      </w:r>
    </w:p>
    <w:p>
      <w:pPr>
        <w:adjustRightInd w:val="0"/>
        <w:snapToGrid w:val="0"/>
        <w:spacing w:line="360" w:lineRule="auto"/>
        <w:ind w:firstLine="480" w:firstLineChars="200"/>
        <w:rPr>
          <w:sz w:val="24"/>
        </w:rPr>
      </w:pPr>
      <w:r>
        <w:rPr>
          <w:rFonts w:hint="eastAsia"/>
          <w:sz w:val="24"/>
        </w:rPr>
        <w:t>61.《天然花岗石建筑板材》GB/T18601-2009</w:t>
      </w:r>
    </w:p>
    <w:p>
      <w:pPr>
        <w:adjustRightInd w:val="0"/>
        <w:snapToGrid w:val="0"/>
        <w:spacing w:line="360" w:lineRule="auto"/>
        <w:ind w:firstLine="480" w:firstLineChars="200"/>
        <w:rPr>
          <w:sz w:val="24"/>
        </w:rPr>
      </w:pPr>
      <w:r>
        <w:rPr>
          <w:rFonts w:hint="eastAsia"/>
          <w:sz w:val="24"/>
        </w:rPr>
        <w:t>62.《天然大理石建筑板材》》GB/T19766-2016</w:t>
      </w:r>
    </w:p>
    <w:p>
      <w:pPr>
        <w:adjustRightInd w:val="0"/>
        <w:snapToGrid w:val="0"/>
        <w:spacing w:line="360" w:lineRule="auto"/>
        <w:ind w:firstLine="480" w:firstLineChars="200"/>
        <w:rPr>
          <w:sz w:val="24"/>
        </w:rPr>
      </w:pPr>
      <w:r>
        <w:rPr>
          <w:rFonts w:hint="eastAsia"/>
          <w:sz w:val="24"/>
        </w:rPr>
        <w:t>63.《天然石材统一编号》GB/T17670-2008</w:t>
      </w:r>
    </w:p>
    <w:p>
      <w:pPr>
        <w:adjustRightInd w:val="0"/>
        <w:snapToGrid w:val="0"/>
        <w:spacing w:line="360" w:lineRule="auto"/>
        <w:ind w:firstLine="480" w:firstLineChars="200"/>
        <w:rPr>
          <w:sz w:val="24"/>
        </w:rPr>
      </w:pPr>
      <w:r>
        <w:rPr>
          <w:rFonts w:hint="eastAsia"/>
          <w:sz w:val="24"/>
        </w:rPr>
        <w:t>64.《干挂石材用金属挂件》GB/T32839-2016</w:t>
      </w:r>
    </w:p>
    <w:p>
      <w:pPr>
        <w:adjustRightInd w:val="0"/>
        <w:snapToGrid w:val="0"/>
        <w:spacing w:line="360" w:lineRule="auto"/>
        <w:ind w:firstLine="480" w:firstLineChars="200"/>
        <w:rPr>
          <w:sz w:val="24"/>
        </w:rPr>
      </w:pPr>
      <w:r>
        <w:rPr>
          <w:rFonts w:hint="eastAsia"/>
          <w:sz w:val="24"/>
        </w:rPr>
        <w:t>65.《建筑用硅酮结构密封胶》GB16776-2005</w:t>
      </w:r>
    </w:p>
    <w:p>
      <w:pPr>
        <w:adjustRightInd w:val="0"/>
        <w:snapToGrid w:val="0"/>
        <w:spacing w:line="360" w:lineRule="auto"/>
        <w:ind w:firstLine="480" w:firstLineChars="200"/>
        <w:rPr>
          <w:sz w:val="24"/>
        </w:rPr>
      </w:pPr>
      <w:r>
        <w:rPr>
          <w:rFonts w:hint="eastAsia"/>
          <w:sz w:val="24"/>
        </w:rPr>
        <w:t>66.《中空玻璃用丁基热熔密封胶》JC/T914-2014</w:t>
      </w:r>
    </w:p>
    <w:p>
      <w:pPr>
        <w:adjustRightInd w:val="0"/>
        <w:snapToGrid w:val="0"/>
        <w:spacing w:line="360" w:lineRule="auto"/>
        <w:ind w:firstLine="480" w:firstLineChars="200"/>
        <w:rPr>
          <w:sz w:val="24"/>
        </w:rPr>
      </w:pPr>
      <w:r>
        <w:rPr>
          <w:rFonts w:hint="eastAsia"/>
          <w:sz w:val="24"/>
        </w:rPr>
        <w:t>67.《幕墙玻璃接缝密封胶》JC/T882-2001</w:t>
      </w:r>
    </w:p>
    <w:p>
      <w:pPr>
        <w:adjustRightInd w:val="0"/>
        <w:snapToGrid w:val="0"/>
        <w:spacing w:line="360" w:lineRule="auto"/>
        <w:ind w:firstLine="480" w:firstLineChars="200"/>
        <w:rPr>
          <w:sz w:val="24"/>
        </w:rPr>
      </w:pPr>
      <w:r>
        <w:rPr>
          <w:rFonts w:hint="eastAsia"/>
          <w:sz w:val="24"/>
        </w:rPr>
        <w:t>68.《干挂石材幕墙用环氧胶粘剂》JC887-2001</w:t>
      </w:r>
    </w:p>
    <w:p>
      <w:pPr>
        <w:adjustRightInd w:val="0"/>
        <w:snapToGrid w:val="0"/>
        <w:spacing w:line="360" w:lineRule="auto"/>
        <w:ind w:firstLine="480" w:firstLineChars="200"/>
        <w:rPr>
          <w:sz w:val="24"/>
        </w:rPr>
      </w:pPr>
      <w:r>
        <w:rPr>
          <w:rFonts w:hint="eastAsia"/>
          <w:sz w:val="24"/>
        </w:rPr>
        <w:t>69.《石材用建筑密封胶》GB/T23261-2009</w:t>
      </w:r>
    </w:p>
    <w:p>
      <w:pPr>
        <w:adjustRightInd w:val="0"/>
        <w:snapToGrid w:val="0"/>
        <w:spacing w:line="360" w:lineRule="auto"/>
        <w:ind w:firstLine="480" w:firstLineChars="200"/>
        <w:rPr>
          <w:sz w:val="24"/>
        </w:rPr>
      </w:pPr>
      <w:r>
        <w:rPr>
          <w:rFonts w:hint="eastAsia"/>
          <w:sz w:val="24"/>
        </w:rPr>
        <w:t>70.《建筑幕墙用槽式预埋组件》GB/T38525-2020</w:t>
      </w:r>
    </w:p>
    <w:p>
      <w:pPr>
        <w:adjustRightInd w:val="0"/>
        <w:snapToGrid w:val="0"/>
        <w:spacing w:line="360" w:lineRule="auto"/>
        <w:ind w:firstLine="480" w:firstLineChars="200"/>
        <w:rPr>
          <w:sz w:val="24"/>
        </w:rPr>
      </w:pPr>
      <w:r>
        <w:rPr>
          <w:rFonts w:hint="eastAsia"/>
          <w:sz w:val="24"/>
        </w:rPr>
        <w:t>71.《绝热用岩棉、矿渣棉及其制品》GB/T11835-2016</w:t>
      </w:r>
    </w:p>
    <w:p>
      <w:pPr>
        <w:adjustRightInd w:val="0"/>
        <w:snapToGrid w:val="0"/>
        <w:spacing w:line="360" w:lineRule="auto"/>
        <w:ind w:firstLine="480" w:firstLineChars="200"/>
        <w:outlineLvl w:val="2"/>
        <w:rPr>
          <w:sz w:val="24"/>
        </w:rPr>
      </w:pPr>
      <w:bookmarkStart w:id="7" w:name="_Toc13305"/>
      <w:r>
        <w:rPr>
          <w:rFonts w:hint="eastAsia"/>
          <w:sz w:val="24"/>
        </w:rPr>
        <w:t>72.《建筑材料及制品燃烧性能分级》GB8624-2012</w:t>
      </w:r>
      <w:bookmarkEnd w:id="7"/>
    </w:p>
    <w:p>
      <w:pPr>
        <w:adjustRightInd w:val="0"/>
        <w:snapToGrid w:val="0"/>
        <w:spacing w:line="360" w:lineRule="auto"/>
        <w:ind w:firstLine="480" w:firstLineChars="200"/>
        <w:rPr>
          <w:sz w:val="24"/>
        </w:rPr>
      </w:pPr>
      <w:r>
        <w:rPr>
          <w:rFonts w:hint="eastAsia"/>
          <w:sz w:val="24"/>
        </w:rPr>
        <w:t>73.《玻璃纤维增强水泥(GRC)建筑应用技术标准》JGJ/T423-2018</w:t>
      </w:r>
    </w:p>
    <w:p>
      <w:pPr>
        <w:adjustRightInd w:val="0"/>
        <w:snapToGrid w:val="0"/>
        <w:spacing w:line="360" w:lineRule="auto"/>
        <w:ind w:firstLine="480" w:firstLineChars="200"/>
        <w:rPr>
          <w:sz w:val="24"/>
        </w:rPr>
      </w:pPr>
      <w:r>
        <w:rPr>
          <w:rFonts w:hint="eastAsia"/>
          <w:sz w:val="24"/>
        </w:rPr>
        <w:t>74.《建筑门窗、幕墙用密封胶条》GB/T24498-2009</w:t>
      </w:r>
    </w:p>
    <w:p>
      <w:pPr>
        <w:adjustRightInd w:val="0"/>
        <w:snapToGrid w:val="0"/>
        <w:spacing w:line="360" w:lineRule="auto"/>
        <w:ind w:firstLine="480" w:firstLineChars="200"/>
        <w:rPr>
          <w:sz w:val="24"/>
        </w:rPr>
      </w:pPr>
      <w:r>
        <w:rPr>
          <w:rFonts w:hint="eastAsia"/>
          <w:sz w:val="24"/>
        </w:rPr>
        <w:t>75.《建筑外墙外保温用岩棉制品》GB/T25975-2018</w:t>
      </w:r>
    </w:p>
    <w:p>
      <w:pPr>
        <w:adjustRightInd w:val="0"/>
        <w:snapToGrid w:val="0"/>
        <w:spacing w:line="360" w:lineRule="auto"/>
        <w:ind w:firstLine="480" w:firstLineChars="200"/>
        <w:rPr>
          <w:sz w:val="24"/>
        </w:rPr>
      </w:pPr>
      <w:r>
        <w:rPr>
          <w:rFonts w:hint="eastAsia"/>
          <w:sz w:val="24"/>
        </w:rPr>
        <w:t>76.《建筑用岩棉绝热制品》GB/T19686-2015</w:t>
      </w:r>
    </w:p>
    <w:p>
      <w:pPr>
        <w:adjustRightInd w:val="0"/>
        <w:snapToGrid w:val="0"/>
        <w:spacing w:line="360" w:lineRule="auto"/>
        <w:ind w:firstLine="480" w:firstLineChars="200"/>
        <w:rPr>
          <w:sz w:val="24"/>
        </w:rPr>
      </w:pPr>
      <w:r>
        <w:rPr>
          <w:rFonts w:hint="eastAsia"/>
          <w:sz w:val="24"/>
        </w:rPr>
        <w:t>77.《建筑幕墙用瓷板》JG/T217-2007</w:t>
      </w:r>
    </w:p>
    <w:p>
      <w:pPr>
        <w:adjustRightInd w:val="0"/>
        <w:snapToGrid w:val="0"/>
        <w:spacing w:line="360" w:lineRule="auto"/>
        <w:ind w:firstLine="480" w:firstLineChars="200"/>
        <w:rPr>
          <w:sz w:val="24"/>
        </w:rPr>
      </w:pPr>
      <w:r>
        <w:rPr>
          <w:rFonts w:hint="eastAsia"/>
          <w:sz w:val="24"/>
        </w:rPr>
        <w:t>78.《建筑幕墙用陶板》JG/T324-2011</w:t>
      </w:r>
    </w:p>
    <w:p>
      <w:pPr>
        <w:adjustRightInd w:val="0"/>
        <w:snapToGrid w:val="0"/>
        <w:spacing w:line="360" w:lineRule="auto"/>
        <w:ind w:firstLine="480" w:firstLineChars="200"/>
        <w:rPr>
          <w:sz w:val="24"/>
        </w:rPr>
      </w:pPr>
      <w:r>
        <w:rPr>
          <w:rFonts w:hint="eastAsia"/>
          <w:sz w:val="24"/>
        </w:rPr>
        <w:t>79.《建筑采光设计标准》GB/T50033-2013</w:t>
      </w:r>
    </w:p>
    <w:p>
      <w:pPr>
        <w:adjustRightInd w:val="0"/>
        <w:snapToGrid w:val="0"/>
        <w:spacing w:line="360" w:lineRule="auto"/>
        <w:ind w:firstLine="480" w:firstLineChars="200"/>
        <w:rPr>
          <w:sz w:val="24"/>
        </w:rPr>
      </w:pPr>
      <w:r>
        <w:rPr>
          <w:rFonts w:hint="eastAsia"/>
          <w:sz w:val="24"/>
        </w:rPr>
        <w:t>80.《民用建筑热工设计规范》GB50176-2016</w:t>
      </w:r>
    </w:p>
    <w:p>
      <w:pPr>
        <w:adjustRightInd w:val="0"/>
        <w:snapToGrid w:val="0"/>
        <w:spacing w:line="360" w:lineRule="auto"/>
        <w:ind w:firstLine="480" w:firstLineChars="200"/>
        <w:rPr>
          <w:sz w:val="24"/>
        </w:rPr>
      </w:pPr>
      <w:r>
        <w:rPr>
          <w:rFonts w:hint="eastAsia"/>
          <w:sz w:val="24"/>
        </w:rPr>
        <w:t>81.《既有居住建筑节能改造技术规程》JGJ/T129-2012</w:t>
      </w:r>
    </w:p>
    <w:p>
      <w:pPr>
        <w:adjustRightInd w:val="0"/>
        <w:snapToGrid w:val="0"/>
        <w:spacing w:line="360" w:lineRule="auto"/>
        <w:ind w:firstLine="480" w:firstLineChars="200"/>
        <w:rPr>
          <w:sz w:val="24"/>
        </w:rPr>
      </w:pPr>
      <w:r>
        <w:rPr>
          <w:rFonts w:hint="eastAsia"/>
          <w:sz w:val="24"/>
        </w:rPr>
        <w:t>82.《防雷安全管理规范》QX/T309-2017</w:t>
      </w:r>
    </w:p>
    <w:p>
      <w:pPr>
        <w:adjustRightInd w:val="0"/>
        <w:snapToGrid w:val="0"/>
        <w:spacing w:line="360" w:lineRule="auto"/>
        <w:ind w:firstLine="480" w:firstLineChars="200"/>
        <w:rPr>
          <w:sz w:val="24"/>
        </w:rPr>
      </w:pPr>
      <w:r>
        <w:rPr>
          <w:rFonts w:hint="eastAsia"/>
          <w:sz w:val="24"/>
        </w:rPr>
        <w:t>83.《电动采光排烟天窗》GB/T28637-2012</w:t>
      </w:r>
    </w:p>
    <w:p>
      <w:pPr>
        <w:adjustRightInd w:val="0"/>
        <w:snapToGrid w:val="0"/>
        <w:spacing w:line="360" w:lineRule="auto"/>
        <w:ind w:firstLine="480" w:firstLineChars="200"/>
        <w:rPr>
          <w:sz w:val="24"/>
        </w:rPr>
      </w:pPr>
      <w:r>
        <w:rPr>
          <w:rFonts w:hint="eastAsia"/>
          <w:sz w:val="24"/>
        </w:rPr>
        <w:t>84.《建筑幕墙、门窗通用技术条件》GB/T31433-2015</w:t>
      </w:r>
    </w:p>
    <w:p>
      <w:pPr>
        <w:adjustRightInd w:val="0"/>
        <w:snapToGrid w:val="0"/>
        <w:spacing w:line="360" w:lineRule="auto"/>
        <w:ind w:firstLine="480" w:firstLineChars="200"/>
        <w:rPr>
          <w:sz w:val="24"/>
        </w:rPr>
      </w:pPr>
      <w:r>
        <w:rPr>
          <w:rFonts w:hint="eastAsia"/>
          <w:sz w:val="24"/>
        </w:rPr>
        <w:t>85.《擦窗机》GB/T19154-2017</w:t>
      </w:r>
    </w:p>
    <w:p>
      <w:pPr>
        <w:adjustRightInd w:val="0"/>
        <w:snapToGrid w:val="0"/>
        <w:spacing w:line="360" w:lineRule="auto"/>
        <w:ind w:firstLine="480" w:firstLineChars="200"/>
        <w:rPr>
          <w:sz w:val="24"/>
        </w:rPr>
      </w:pPr>
      <w:r>
        <w:rPr>
          <w:rFonts w:hint="eastAsia"/>
          <w:sz w:val="24"/>
        </w:rPr>
        <w:t>86.《真空玻璃》GB/T38586-2020</w:t>
      </w:r>
    </w:p>
    <w:p>
      <w:pPr>
        <w:adjustRightInd w:val="0"/>
        <w:snapToGrid w:val="0"/>
        <w:spacing w:line="360" w:lineRule="auto"/>
        <w:ind w:firstLine="480" w:firstLineChars="200"/>
        <w:rPr>
          <w:sz w:val="24"/>
        </w:rPr>
      </w:pPr>
      <w:r>
        <w:rPr>
          <w:rFonts w:hint="eastAsia"/>
          <w:sz w:val="24"/>
        </w:rPr>
        <w:t>87.《天然石材术语》GB/T13890-2008</w:t>
      </w:r>
    </w:p>
    <w:p>
      <w:pPr>
        <w:adjustRightInd w:val="0"/>
        <w:snapToGrid w:val="0"/>
        <w:spacing w:line="360" w:lineRule="auto"/>
        <w:ind w:firstLine="480" w:firstLineChars="200"/>
        <w:rPr>
          <w:sz w:val="24"/>
        </w:rPr>
      </w:pPr>
      <w:r>
        <w:rPr>
          <w:rFonts w:hint="eastAsia"/>
          <w:sz w:val="24"/>
        </w:rPr>
        <w:t>88.建标【2015】38号 关于进一步加强玻璃幕墙安全防护工作的通知（住房城乡建设部 国家安全监管总局）</w:t>
      </w:r>
    </w:p>
    <w:p>
      <w:pPr>
        <w:adjustRightInd w:val="0"/>
        <w:snapToGrid w:val="0"/>
        <w:spacing w:line="360" w:lineRule="auto"/>
        <w:ind w:firstLine="480" w:firstLineChars="200"/>
        <w:rPr>
          <w:sz w:val="24"/>
        </w:rPr>
      </w:pPr>
      <w:r>
        <w:rPr>
          <w:rFonts w:hint="eastAsia"/>
          <w:sz w:val="24"/>
        </w:rPr>
        <w:t>89.中装协【2016】89号 关于印发《关于淘汰建筑幕墙落后产品和技术的指导意见》的通知</w:t>
      </w:r>
    </w:p>
    <w:p>
      <w:pPr>
        <w:adjustRightInd w:val="0"/>
        <w:snapToGrid w:val="0"/>
        <w:spacing w:line="360" w:lineRule="auto"/>
        <w:ind w:firstLine="480" w:firstLineChars="200"/>
        <w:rPr>
          <w:sz w:val="24"/>
        </w:rPr>
      </w:pPr>
      <w:r>
        <w:rPr>
          <w:rFonts w:hint="eastAsia"/>
          <w:sz w:val="24"/>
        </w:rPr>
        <w:t>注：上文未列的标准、规范以国家、行业、团体现行标准、规范为准。</w:t>
      </w:r>
    </w:p>
    <w:p>
      <w:pPr>
        <w:adjustRightInd w:val="0"/>
        <w:snapToGrid w:val="0"/>
        <w:spacing w:line="319" w:lineRule="auto"/>
        <w:rPr>
          <w:sz w:val="24"/>
        </w:rPr>
      </w:pPr>
    </w:p>
    <w:p>
      <w:pPr>
        <w:adjustRightInd w:val="0"/>
        <w:snapToGrid w:val="0"/>
        <w:spacing w:line="319" w:lineRule="auto"/>
        <w:rPr>
          <w:sz w:val="24"/>
        </w:rPr>
      </w:pPr>
    </w:p>
    <w:p>
      <w:pPr>
        <w:adjustRightInd w:val="0"/>
        <w:snapToGrid w:val="0"/>
        <w:spacing w:line="319" w:lineRule="auto"/>
        <w:rPr>
          <w:sz w:val="24"/>
        </w:rPr>
      </w:pPr>
    </w:p>
    <w:p>
      <w:pPr>
        <w:rPr>
          <w:rFonts w:hint="eastAsia"/>
        </w:rPr>
        <w:sectPr>
          <w:pgSz w:w="11906" w:h="16838"/>
          <w:pgMar w:top="1440" w:right="1247" w:bottom="1440" w:left="1587" w:header="851" w:footer="992" w:gutter="0"/>
          <w:pgNumType w:fmt="numberInDash"/>
          <w:cols w:space="720" w:num="1"/>
          <w:docGrid w:type="lines" w:linePitch="312" w:charSpace="0"/>
        </w:sectPr>
      </w:pPr>
    </w:p>
    <w:p>
      <w:pPr>
        <w:jc w:val="center"/>
        <w:rPr>
          <w:b/>
          <w:bCs/>
          <w:sz w:val="10"/>
          <w:szCs w:val="10"/>
        </w:rPr>
      </w:pPr>
      <w:r>
        <w:rPr>
          <w:rFonts w:hint="eastAsia" w:ascii="黑体" w:hAnsi="黑体" w:eastAsia="黑体"/>
          <w:sz w:val="30"/>
          <w:szCs w:val="30"/>
          <w:lang w:val="en-US" w:eastAsia="zh-CN"/>
        </w:rPr>
        <w:t>三、</w:t>
      </w:r>
      <w:r>
        <w:rPr>
          <w:rFonts w:hint="eastAsia" w:ascii="黑体" w:hAnsi="黑体" w:eastAsia="黑体"/>
          <w:sz w:val="30"/>
          <w:szCs w:val="30"/>
        </w:rPr>
        <w:t>工程复查实施细则</w:t>
      </w:r>
      <w:r>
        <w:rPr>
          <w:rFonts w:hint="eastAsia" w:ascii="宋体" w:hAnsi="宋体"/>
          <w:sz w:val="30"/>
          <w:szCs w:val="30"/>
        </w:rPr>
        <w:t>—</w:t>
      </w:r>
      <w:r>
        <w:rPr>
          <w:rFonts w:hint="eastAsia" w:ascii="宋体" w:hAnsi="宋体"/>
          <w:bCs/>
          <w:sz w:val="30"/>
          <w:szCs w:val="30"/>
        </w:rPr>
        <w:t>—建筑幕墙类（设计）</w:t>
      </w: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267"/>
        <w:gridCol w:w="1843"/>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567"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szCs w:val="21"/>
              </w:rPr>
            </w:pPr>
            <w:r>
              <w:rPr>
                <w:rFonts w:hint="eastAsia" w:ascii="黑体" w:hAnsi="黑体" w:eastAsia="黑体"/>
                <w:szCs w:val="21"/>
              </w:rPr>
              <w:t>必要文件：</w:t>
            </w:r>
          </w:p>
          <w:p>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单位营业执照、建筑幕墙工程设计专项资质证书（此两项上一年度参评的单位可提供在有效期内的加盖本单位公章的复印件）；</w:t>
            </w:r>
          </w:p>
          <w:p>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主要设计人员执业资格证书或技术职称证书；</w:t>
            </w:r>
          </w:p>
          <w:p>
            <w:pPr>
              <w:pStyle w:val="4"/>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幕墙工程设计合同或设计施工一体化工程合同（含设计范围、设计负责人等）；</w:t>
            </w:r>
          </w:p>
          <w:p>
            <w:pPr>
              <w:pStyle w:val="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幕墙工程竣工验收资料（签章必须齐全）</w:t>
            </w:r>
          </w:p>
          <w:p>
            <w:pPr>
              <w:pStyle w:val="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消防验收资料</w:t>
            </w:r>
          </w:p>
          <w:p>
            <w:pPr>
              <w:pStyle w:val="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工程竣工验收合格备案证书。</w:t>
            </w:r>
          </w:p>
        </w:tc>
        <w:tc>
          <w:tcPr>
            <w:tcW w:w="2267"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必要文件有一项不合格或不符合要求者不予评审。</w:t>
            </w:r>
            <w:bookmarkStart w:id="8" w:name="_GoBack"/>
            <w:bookmarkEnd w:id="8"/>
          </w:p>
        </w:tc>
        <w:tc>
          <w:tcPr>
            <w:tcW w:w="1843"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设计说明</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1.设计说明应包括工程概况、设计范围、设计依据、设计参数、幕墙主要性能指标、主要幕墙系统介绍、幕墙工程重难点分析、幕墙材料技术要求、功能性设计要求（如防排水、防火、防雷等）、节能专项说明、主要加工制作和安装技术要求等；</w:t>
            </w:r>
          </w:p>
          <w:p>
            <w:pPr>
              <w:snapToGrid w:val="0"/>
              <w:spacing w:line="288" w:lineRule="auto"/>
              <w:rPr>
                <w:rFonts w:ascii="宋体" w:hAnsi="宋体"/>
                <w:szCs w:val="21"/>
              </w:rPr>
            </w:pPr>
            <w:r>
              <w:rPr>
                <w:rFonts w:hint="eastAsia" w:ascii="宋体" w:hAnsi="宋体"/>
                <w:szCs w:val="21"/>
              </w:rPr>
              <w:t>2.明确外露钢材、钢结构表面及焊接部位的防腐技术要求；</w:t>
            </w:r>
          </w:p>
          <w:p>
            <w:pPr>
              <w:snapToGrid w:val="0"/>
              <w:spacing w:line="288" w:lineRule="auto"/>
              <w:rPr>
                <w:rFonts w:ascii="宋体" w:hAnsi="宋体"/>
                <w:szCs w:val="21"/>
              </w:rPr>
            </w:pPr>
            <w:r>
              <w:rPr>
                <w:rFonts w:hint="eastAsia" w:ascii="宋体" w:hAnsi="宋体"/>
                <w:szCs w:val="21"/>
              </w:rPr>
              <w:t>3.提供预埋件纠偏方案及漏埋的后置埋件方案，包括后置锚栓的种类、材质、规格、埋置深度等；</w:t>
            </w:r>
          </w:p>
          <w:p>
            <w:pPr>
              <w:snapToGrid w:val="0"/>
              <w:spacing w:line="288" w:lineRule="auto"/>
              <w:rPr>
                <w:rFonts w:ascii="宋体" w:hAnsi="宋体"/>
                <w:szCs w:val="21"/>
              </w:rPr>
            </w:pPr>
            <w:r>
              <w:rPr>
                <w:rFonts w:hint="eastAsia" w:ascii="宋体" w:hAnsi="宋体"/>
                <w:szCs w:val="21"/>
              </w:rPr>
              <w:t>4.采用石材背栓、后置锚栓的，应明确背（锚）栓的拉拔力设计值和乘以2倍之后的拉拔力试验值；</w:t>
            </w:r>
          </w:p>
          <w:p>
            <w:pPr>
              <w:snapToGrid w:val="0"/>
              <w:spacing w:line="288" w:lineRule="auto"/>
              <w:rPr>
                <w:rFonts w:ascii="宋体" w:hAnsi="宋体"/>
                <w:szCs w:val="21"/>
              </w:rPr>
            </w:pPr>
            <w:r>
              <w:rPr>
                <w:rFonts w:hint="eastAsia" w:ascii="宋体" w:hAnsi="宋体"/>
                <w:szCs w:val="21"/>
              </w:rPr>
              <w:t>5.采用了新材料、新技术、新工艺且无相关标准规范时，应提供相应的证明资料（论证报告、鉴定报告等）；</w:t>
            </w:r>
          </w:p>
          <w:p>
            <w:pPr>
              <w:snapToGrid w:val="0"/>
              <w:spacing w:line="288" w:lineRule="auto"/>
              <w:rPr>
                <w:rFonts w:ascii="宋体" w:hAnsi="宋体"/>
                <w:szCs w:val="21"/>
              </w:rPr>
            </w:pPr>
            <w:r>
              <w:rPr>
                <w:rFonts w:hint="eastAsia" w:ascii="宋体" w:hAnsi="宋体"/>
                <w:szCs w:val="21"/>
              </w:rPr>
              <w:t>6.涉及到危大工程的重点部位和环节应进行说明；</w:t>
            </w:r>
          </w:p>
          <w:p>
            <w:pPr>
              <w:snapToGrid w:val="0"/>
              <w:spacing w:line="288" w:lineRule="auto"/>
              <w:rPr>
                <w:rFonts w:ascii="宋体" w:hAnsi="宋体"/>
                <w:szCs w:val="21"/>
              </w:rPr>
            </w:pPr>
            <w:r>
              <w:rPr>
                <w:rFonts w:hint="eastAsia" w:ascii="宋体" w:hAnsi="宋体"/>
                <w:szCs w:val="21"/>
              </w:rPr>
              <w:t>7.幕墙的使用维护及保养。</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1.设计说明内容每缺一项扣1-2分；</w:t>
            </w:r>
          </w:p>
          <w:p>
            <w:pPr>
              <w:snapToGrid w:val="0"/>
              <w:spacing w:line="288" w:lineRule="auto"/>
              <w:rPr>
                <w:rFonts w:ascii="宋体" w:hAnsi="宋体"/>
                <w:szCs w:val="21"/>
              </w:rPr>
            </w:pPr>
            <w:r>
              <w:rPr>
                <w:rFonts w:hint="eastAsia" w:ascii="宋体" w:hAnsi="宋体"/>
                <w:szCs w:val="21"/>
              </w:rPr>
              <w:t>2.未注明背（锚）栓拉拔力设计值的，每项扣3分；</w:t>
            </w:r>
          </w:p>
          <w:p>
            <w:pPr>
              <w:snapToGrid w:val="0"/>
              <w:spacing w:line="288" w:lineRule="auto"/>
              <w:rPr>
                <w:rFonts w:ascii="宋体" w:hAnsi="宋体"/>
                <w:szCs w:val="21"/>
              </w:rPr>
            </w:pPr>
            <w:r>
              <w:rPr>
                <w:rFonts w:hint="eastAsia" w:ascii="宋体" w:hAnsi="宋体"/>
                <w:szCs w:val="21"/>
              </w:rPr>
              <w:t>3.采用新材料、新技术、新工艺无证明资料的，扣1-5分。</w:t>
            </w:r>
          </w:p>
          <w:p>
            <w:pPr>
              <w:snapToGrid w:val="0"/>
              <w:spacing w:line="288" w:lineRule="auto"/>
              <w:rPr>
                <w:rFonts w:ascii="宋体" w:hAnsi="宋体"/>
                <w:szCs w:val="21"/>
              </w:rPr>
            </w:pPr>
            <w:r>
              <w:rPr>
                <w:rFonts w:hint="eastAsia" w:ascii="宋体" w:hAnsi="宋体"/>
                <w:szCs w:val="21"/>
              </w:rPr>
              <w:t>4.存在其他不符合要求或不合规情况，扣0.5-2分。</w:t>
            </w:r>
          </w:p>
        </w:tc>
        <w:tc>
          <w:tcPr>
            <w:tcW w:w="1843"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设计说明可单独成册，也可与竣工图纸共同装订成册。</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按复查内容逐项检查。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施工图</w:t>
            </w:r>
          </w:p>
          <w:p>
            <w:pPr>
              <w:snapToGrid w:val="0"/>
              <w:spacing w:line="360" w:lineRule="auto"/>
              <w:jc w:val="center"/>
              <w:rPr>
                <w:rFonts w:ascii="宋体" w:hAnsi="宋体"/>
                <w:sz w:val="18"/>
                <w:szCs w:val="18"/>
              </w:rPr>
            </w:pPr>
            <w:r>
              <w:rPr>
                <w:rFonts w:hint="eastAsia" w:ascii="宋体" w:hAnsi="宋体"/>
                <w:sz w:val="18"/>
                <w:szCs w:val="18"/>
              </w:rPr>
              <w:t>（或竣工图）</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1.施工图（或竣工图）应符合法律、法规及相关规范、标准的要求，并应符合住建部建标[2015]38号文件、中装协[2016]89号文件等；</w:t>
            </w:r>
          </w:p>
          <w:p>
            <w:pPr>
              <w:snapToGrid w:val="0"/>
              <w:spacing w:line="288" w:lineRule="auto"/>
              <w:rPr>
                <w:szCs w:val="21"/>
              </w:rPr>
            </w:pPr>
            <w:r>
              <w:rPr>
                <w:rFonts w:hint="eastAsia"/>
                <w:szCs w:val="21"/>
              </w:rPr>
              <w:t>2.应提供幕墙图纸会审的证明资料；图纸签字手续应齐全；</w:t>
            </w:r>
          </w:p>
          <w:p>
            <w:pPr>
              <w:snapToGrid w:val="0"/>
              <w:spacing w:line="288" w:lineRule="auto"/>
              <w:rPr>
                <w:szCs w:val="21"/>
              </w:rPr>
            </w:pPr>
            <w:r>
              <w:rPr>
                <w:rFonts w:hint="eastAsia"/>
                <w:szCs w:val="21"/>
              </w:rPr>
              <w:t>3.图纸内容应包括：图纸目录、立面图、平面图、剖面图、索引图、大样图、节点图、型材截面图、预埋件工艺及布置图、必要的加工工艺图、后置埋件纠偏图、大跨度支承结构规格及布置图（如需）、功能性图纸（防水、防火、防雷等）等；</w:t>
            </w:r>
          </w:p>
          <w:p>
            <w:pPr>
              <w:snapToGrid w:val="0"/>
              <w:spacing w:line="288" w:lineRule="auto"/>
              <w:rPr>
                <w:szCs w:val="21"/>
              </w:rPr>
            </w:pPr>
            <w:r>
              <w:rPr>
                <w:rFonts w:hint="eastAsia"/>
                <w:szCs w:val="21"/>
              </w:rPr>
              <w:t>4.立面或平面图应标明幕墙大面区和墙角区；</w:t>
            </w:r>
          </w:p>
          <w:p>
            <w:pPr>
              <w:snapToGrid w:val="0"/>
              <w:spacing w:line="288" w:lineRule="auto"/>
              <w:rPr>
                <w:szCs w:val="21"/>
              </w:rPr>
            </w:pPr>
            <w:r>
              <w:rPr>
                <w:rFonts w:hint="eastAsia"/>
                <w:szCs w:val="21"/>
              </w:rPr>
              <w:t>5.节点图应包含幕墙系统构造、连接详图及与主体结构连接与封堵处理详图、开启窗（含通风窗、排烟窗、救援窗、防火窗）或通风构造详图，防火、防雷构造详图、变形缝详图，不同幕墙的接口、转角详图、附属部件连接详图等；</w:t>
            </w:r>
          </w:p>
          <w:p>
            <w:pPr>
              <w:snapToGrid w:val="0"/>
              <w:spacing w:line="288" w:lineRule="auto"/>
              <w:rPr>
                <w:szCs w:val="21"/>
              </w:rPr>
            </w:pPr>
            <w:r>
              <w:rPr>
                <w:rFonts w:hint="eastAsia"/>
                <w:szCs w:val="21"/>
              </w:rPr>
              <w:t>6.中空玻璃采用硅酮结构密封胶进行结构粘接受力时，硅酮结构密封胶至少应有一对边与中空玻璃二道硅酮结构密封胶重合，并应标明硅酮结构密封胶的宽度和厚度，包括中空玻璃硅酮结构密封胶宽度等；</w:t>
            </w:r>
          </w:p>
          <w:p>
            <w:pPr>
              <w:snapToGrid w:val="0"/>
              <w:spacing w:line="288" w:lineRule="auto"/>
              <w:rPr>
                <w:szCs w:val="21"/>
              </w:rPr>
            </w:pPr>
            <w:r>
              <w:rPr>
                <w:rFonts w:hint="eastAsia"/>
                <w:szCs w:val="21"/>
              </w:rPr>
              <w:t>7.大跨度（悬挑）幕墙支承结构应有完整设计图纸，包括与主体结构位置关系、连接设计、焊接要求等；</w:t>
            </w:r>
          </w:p>
          <w:p>
            <w:pPr>
              <w:snapToGrid w:val="0"/>
              <w:spacing w:line="288" w:lineRule="auto"/>
              <w:rPr>
                <w:szCs w:val="21"/>
              </w:rPr>
            </w:pPr>
            <w:r>
              <w:rPr>
                <w:rFonts w:hint="eastAsia"/>
                <w:szCs w:val="21"/>
              </w:rPr>
              <w:t>8.石材幕墙采用单排石材吊顶时，应采取有效的防石材坠落措施，严禁大面积采用倒挂石材吊顶；石材幕墙不得采用T形挂件或背挑件；石材装饰线条应采取可靠的机械连接措施；</w:t>
            </w:r>
          </w:p>
          <w:p>
            <w:pPr>
              <w:snapToGrid w:val="0"/>
              <w:spacing w:line="288" w:lineRule="auto"/>
              <w:rPr>
                <w:szCs w:val="21"/>
              </w:rPr>
            </w:pPr>
            <w:r>
              <w:rPr>
                <w:rFonts w:hint="eastAsia"/>
                <w:szCs w:val="21"/>
              </w:rPr>
              <w:t>9.外倾斜、水平倒挂的脆性材料应有防脱落、防坠落措施；</w:t>
            </w:r>
          </w:p>
          <w:p>
            <w:pPr>
              <w:snapToGrid w:val="0"/>
              <w:spacing w:line="288" w:lineRule="auto"/>
              <w:rPr>
                <w:szCs w:val="21"/>
              </w:rPr>
            </w:pPr>
            <w:r>
              <w:rPr>
                <w:rFonts w:hint="eastAsia"/>
                <w:szCs w:val="21"/>
              </w:rPr>
              <w:t>10.开启窗面积、玻璃最大允许面积、幕墙防火层设计等应满足相关规范要求；</w:t>
            </w:r>
          </w:p>
          <w:p>
            <w:pPr>
              <w:snapToGrid w:val="0"/>
              <w:spacing w:line="288" w:lineRule="auto"/>
              <w:rPr>
                <w:szCs w:val="21"/>
              </w:rPr>
            </w:pPr>
            <w:r>
              <w:rPr>
                <w:rFonts w:hint="eastAsia"/>
                <w:szCs w:val="21"/>
              </w:rPr>
              <w:t>11.出屋面部分的幕墙与主体结构交汇处，室内外交汇处幕墙等位置的防水设计；</w:t>
            </w:r>
          </w:p>
          <w:p>
            <w:pPr>
              <w:snapToGrid w:val="0"/>
              <w:spacing w:line="288" w:lineRule="auto"/>
              <w:rPr>
                <w:szCs w:val="21"/>
              </w:rPr>
            </w:pPr>
            <w:r>
              <w:rPr>
                <w:rFonts w:hint="eastAsia"/>
                <w:szCs w:val="21"/>
              </w:rPr>
              <w:t>12.幕墙立面外装饰条或装饰造型应与幕墙龙骨或主体结构可靠连接；</w:t>
            </w:r>
          </w:p>
          <w:p>
            <w:pPr>
              <w:snapToGrid w:val="0"/>
              <w:spacing w:line="288" w:lineRule="auto"/>
              <w:rPr>
                <w:szCs w:val="21"/>
              </w:rPr>
            </w:pPr>
            <w:r>
              <w:rPr>
                <w:rFonts w:hint="eastAsia"/>
                <w:szCs w:val="21"/>
              </w:rPr>
              <w:t>13.提供外开启窗的开启面积、五金件配置图、布置图及相关技术要求等；</w:t>
            </w:r>
          </w:p>
          <w:p>
            <w:pPr>
              <w:snapToGrid w:val="0"/>
              <w:spacing w:line="288" w:lineRule="auto"/>
              <w:rPr>
                <w:szCs w:val="21"/>
              </w:rPr>
            </w:pPr>
            <w:r>
              <w:rPr>
                <w:rFonts w:hint="eastAsia"/>
                <w:szCs w:val="21"/>
              </w:rPr>
              <w:t>14.应按规范要求提供消防救援窗的设计。</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83" w:hanging="283" w:hangingChars="135"/>
              <w:rPr>
                <w:rFonts w:ascii="Calibri" w:hAnsi="Calibri"/>
                <w:szCs w:val="21"/>
              </w:rPr>
            </w:pPr>
            <w:r>
              <w:rPr>
                <w:rFonts w:hint="eastAsia" w:ascii="Calibri" w:hAnsi="Calibri"/>
                <w:szCs w:val="21"/>
              </w:rPr>
              <w:t>1.图纸缺项的，视具体情况每项扣1-5分；</w:t>
            </w:r>
          </w:p>
          <w:p>
            <w:pPr>
              <w:snapToGrid w:val="0"/>
              <w:spacing w:line="288" w:lineRule="auto"/>
              <w:ind w:left="283" w:hanging="283" w:hangingChars="135"/>
              <w:rPr>
                <w:rFonts w:ascii="Calibri" w:hAnsi="Calibri"/>
                <w:szCs w:val="21"/>
              </w:rPr>
            </w:pPr>
            <w:r>
              <w:rPr>
                <w:rFonts w:hint="eastAsia" w:ascii="Calibri" w:hAnsi="Calibri"/>
                <w:szCs w:val="21"/>
              </w:rPr>
              <w:t>2.幕墙系统及支承结构等设计存在安全隐患的，视其严重性扣10-30分；</w:t>
            </w:r>
          </w:p>
          <w:p>
            <w:pPr>
              <w:snapToGrid w:val="0"/>
              <w:spacing w:line="288" w:lineRule="auto"/>
              <w:ind w:left="283" w:hanging="283" w:hangingChars="135"/>
              <w:rPr>
                <w:rFonts w:ascii="Calibri" w:hAnsi="Calibri"/>
                <w:szCs w:val="21"/>
              </w:rPr>
            </w:pPr>
            <w:r>
              <w:rPr>
                <w:rFonts w:hint="eastAsia" w:ascii="Calibri" w:hAnsi="Calibri"/>
                <w:szCs w:val="21"/>
              </w:rPr>
              <w:t>3.缺幕墙系统节点的，每项扣3-5分；</w:t>
            </w:r>
          </w:p>
          <w:p>
            <w:pPr>
              <w:snapToGrid w:val="0"/>
              <w:spacing w:line="288" w:lineRule="auto"/>
              <w:ind w:left="283" w:hanging="283" w:hangingChars="135"/>
              <w:rPr>
                <w:rFonts w:ascii="Calibri" w:hAnsi="Calibri"/>
                <w:szCs w:val="21"/>
              </w:rPr>
            </w:pPr>
            <w:r>
              <w:rPr>
                <w:rFonts w:hint="eastAsia" w:ascii="Calibri" w:hAnsi="Calibri"/>
                <w:szCs w:val="21"/>
              </w:rPr>
              <w:t>4.其它不符合要求或不合规情况每项扣1-3分。</w:t>
            </w:r>
          </w:p>
        </w:tc>
        <w:tc>
          <w:tcPr>
            <w:tcW w:w="1843"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竣工图纸应盖设计单位幕墙专项出图章并盖施工单位的竣工图章，且竣工图框应与幕墙设计单位一致。</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审查图纸与工程实体是否相符。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热工计算书</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szCs w:val="21"/>
              </w:rPr>
              <w:t>1.热工计算书审批手续应齐全；</w:t>
            </w:r>
          </w:p>
          <w:p>
            <w:pPr>
              <w:snapToGrid w:val="0"/>
              <w:spacing w:line="276" w:lineRule="auto"/>
              <w:rPr>
                <w:szCs w:val="21"/>
              </w:rPr>
            </w:pPr>
            <w:r>
              <w:rPr>
                <w:rFonts w:hint="eastAsia"/>
                <w:szCs w:val="21"/>
              </w:rPr>
              <w:t>2.工程所有的幕墙类型（包括采光顶）有保温隔热要求的均应提供热工计算；</w:t>
            </w:r>
          </w:p>
          <w:p>
            <w:pPr>
              <w:snapToGrid w:val="0"/>
              <w:spacing w:line="276" w:lineRule="auto"/>
              <w:rPr>
                <w:szCs w:val="21"/>
              </w:rPr>
            </w:pPr>
            <w:r>
              <w:rPr>
                <w:rFonts w:hint="eastAsia"/>
                <w:szCs w:val="21"/>
              </w:rPr>
              <w:t>3.各类型幕墙的热工计算应齐全完整，并有明确结论且满足建筑节能设计指标要求；</w:t>
            </w:r>
          </w:p>
          <w:p>
            <w:pPr>
              <w:snapToGrid w:val="0"/>
              <w:spacing w:line="276" w:lineRule="auto"/>
              <w:rPr>
                <w:szCs w:val="21"/>
              </w:rPr>
            </w:pPr>
            <w:r>
              <w:rPr>
                <w:rFonts w:hint="eastAsia"/>
                <w:szCs w:val="21"/>
              </w:rPr>
              <w:t>4.正确选择热工计算单元和计算参数（如气候分区、朝向、窗墙比、体型系数等）；</w:t>
            </w:r>
          </w:p>
          <w:p>
            <w:pPr>
              <w:snapToGrid w:val="0"/>
              <w:spacing w:line="276" w:lineRule="auto"/>
              <w:rPr>
                <w:szCs w:val="21"/>
              </w:rPr>
            </w:pPr>
            <w:r>
              <w:rPr>
                <w:rFonts w:hint="eastAsia"/>
                <w:szCs w:val="21"/>
              </w:rPr>
              <w:t>5.幕墙热工计算内容应包括透光部分幕墙和采光顶的传热系数、太阳得热系数等，以及非透光部分幕墙的传热系数计算等，其中非透光部分幕墙应包括玻璃幕墙非透光部分和非透光幕墙类型（石材、铝板、人造板等）；</w:t>
            </w:r>
          </w:p>
          <w:p>
            <w:pPr>
              <w:snapToGrid w:val="0"/>
              <w:spacing w:line="276" w:lineRule="auto"/>
              <w:rPr>
                <w:szCs w:val="21"/>
              </w:rPr>
            </w:pPr>
            <w:r>
              <w:rPr>
                <w:rFonts w:hint="eastAsia"/>
                <w:szCs w:val="21"/>
              </w:rPr>
              <w:t>6.热工计算应按节能标准要求进行汇总，且计算结果应满足现行相关标准规范及建筑节能设计的要求；</w:t>
            </w:r>
          </w:p>
          <w:p>
            <w:pPr>
              <w:snapToGrid w:val="0"/>
              <w:spacing w:line="276" w:lineRule="auto"/>
              <w:rPr>
                <w:szCs w:val="21"/>
              </w:rPr>
            </w:pPr>
            <w:r>
              <w:rPr>
                <w:rFonts w:hint="eastAsia"/>
                <w:szCs w:val="21"/>
              </w:rPr>
              <w:t>7.寒冷和严寒地区应进行结露计算；</w:t>
            </w:r>
          </w:p>
          <w:p>
            <w:pPr>
              <w:snapToGrid w:val="0"/>
              <w:spacing w:line="276" w:lineRule="auto"/>
              <w:rPr>
                <w:szCs w:val="21"/>
              </w:rPr>
            </w:pPr>
            <w:r>
              <w:rPr>
                <w:rFonts w:hint="eastAsia"/>
                <w:szCs w:val="21"/>
              </w:rPr>
              <w:t>8.应提供建筑设计单位出具的建筑节能报告或建筑施工图设计说明中的节能专篇，明确各类型幕墙应当达到的热工性能要求。</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p>
          <w:p>
            <w:pPr>
              <w:snapToGrid w:val="0"/>
              <w:spacing w:line="288" w:lineRule="auto"/>
              <w:rPr>
                <w:szCs w:val="21"/>
              </w:rPr>
            </w:pPr>
            <w:r>
              <w:rPr>
                <w:rFonts w:hint="eastAsia"/>
                <w:szCs w:val="21"/>
              </w:rPr>
              <w:t>1.无热工计算书扣10分；</w:t>
            </w:r>
          </w:p>
          <w:p>
            <w:pPr>
              <w:snapToGrid w:val="0"/>
              <w:spacing w:line="288" w:lineRule="auto"/>
              <w:rPr>
                <w:szCs w:val="21"/>
              </w:rPr>
            </w:pPr>
            <w:r>
              <w:rPr>
                <w:rFonts w:hint="eastAsia"/>
                <w:szCs w:val="21"/>
              </w:rPr>
              <w:t>2.缺主要幕墙类型的热工计算书的每项扣1-3分；</w:t>
            </w:r>
          </w:p>
          <w:p>
            <w:pPr>
              <w:snapToGrid w:val="0"/>
              <w:spacing w:line="288" w:lineRule="auto"/>
              <w:rPr>
                <w:szCs w:val="21"/>
              </w:rPr>
            </w:pPr>
            <w:r>
              <w:rPr>
                <w:rFonts w:hint="eastAsia"/>
                <w:szCs w:val="21"/>
              </w:rPr>
              <w:t>3.计算出现严重错误的每项扣5分；</w:t>
            </w:r>
          </w:p>
          <w:p>
            <w:pPr>
              <w:snapToGrid w:val="0"/>
              <w:spacing w:line="288" w:lineRule="auto"/>
              <w:rPr>
                <w:szCs w:val="21"/>
              </w:rPr>
            </w:pPr>
            <w:r>
              <w:rPr>
                <w:rFonts w:hint="eastAsia"/>
                <w:szCs w:val="21"/>
              </w:rPr>
              <w:t>4.其它不符合要求或不合规情况的扣1-3分。</w:t>
            </w:r>
          </w:p>
        </w:tc>
        <w:tc>
          <w:tcPr>
            <w:tcW w:w="1843" w:type="dxa"/>
            <w:tcBorders>
              <w:left w:val="single" w:color="auto" w:sz="4" w:space="0"/>
              <w:right w:val="single" w:color="auto" w:sz="4" w:space="0"/>
            </w:tcBorders>
            <w:noWrap w:val="0"/>
            <w:vAlign w:val="center"/>
          </w:tcPr>
          <w:p>
            <w:pPr>
              <w:snapToGrid w:val="0"/>
              <w:spacing w:line="288" w:lineRule="auto"/>
              <w:rPr>
                <w:szCs w:val="21"/>
              </w:rPr>
            </w:pPr>
          </w:p>
          <w:p>
            <w:pPr>
              <w:rPr>
                <w:szCs w:val="21"/>
              </w:rPr>
            </w:pPr>
            <w:r>
              <w:rPr>
                <w:rFonts w:hint="eastAsia"/>
                <w:szCs w:val="21"/>
              </w:rPr>
              <w:t>不得采用建筑设计院出具的建筑节能设计计算报告代替幕墙热工计算书。</w:t>
            </w:r>
          </w:p>
          <w:p>
            <w:pPr>
              <w:snapToGrid w:val="0"/>
              <w:spacing w:line="288" w:lineRule="auto"/>
              <w:rPr>
                <w:szCs w:val="21"/>
              </w:rPr>
            </w:pP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p>
          <w:p>
            <w:pPr>
              <w:snapToGrid w:val="0"/>
              <w:spacing w:line="288" w:lineRule="auto"/>
              <w:rPr>
                <w:szCs w:val="21"/>
              </w:rPr>
            </w:pPr>
            <w:r>
              <w:rPr>
                <w:rFonts w:hint="eastAsia"/>
                <w:szCs w:val="21"/>
              </w:rPr>
              <w:t>根据建筑设计院的建筑节能报告复核幕墙热工计算书是否满足节能要求。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结构计算书</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szCs w:val="21"/>
              </w:rPr>
            </w:pPr>
            <w:r>
              <w:rPr>
                <w:rFonts w:hint="eastAsia"/>
                <w:szCs w:val="21"/>
              </w:rPr>
              <w:t>1.结构计算书审批手续应齐全；</w:t>
            </w:r>
          </w:p>
          <w:p>
            <w:pPr>
              <w:spacing w:line="276" w:lineRule="auto"/>
              <w:rPr>
                <w:szCs w:val="21"/>
              </w:rPr>
            </w:pPr>
            <w:r>
              <w:rPr>
                <w:rFonts w:hint="eastAsia"/>
                <w:szCs w:val="21"/>
              </w:rPr>
              <w:t>2.工程所有的幕墙类型和系统（包括采光顶、雨蓬、外挂遮阳及装饰构件等）均应提供结构计算书；</w:t>
            </w:r>
          </w:p>
          <w:p>
            <w:pPr>
              <w:spacing w:line="276" w:lineRule="auto"/>
              <w:rPr>
                <w:szCs w:val="21"/>
              </w:rPr>
            </w:pPr>
            <w:r>
              <w:rPr>
                <w:rFonts w:hint="eastAsia"/>
                <w:szCs w:val="21"/>
              </w:rPr>
              <w:t>3.结构计算内容应齐全完整，合理选择计算参数，内容应包括但不限于面板、龙骨及支承结构的强度和挠度计算，结构胶宽度、厚度（含中空玻璃间层结构胶）计算，连接（含幕墙构件间及与主体结构间连接等）计算，预埋件及后置埋件计算，焊缝计算，局部构件及位置的结构计算等，并应附上相关的配图；</w:t>
            </w:r>
          </w:p>
          <w:p>
            <w:pPr>
              <w:spacing w:line="276" w:lineRule="auto"/>
              <w:rPr>
                <w:szCs w:val="21"/>
              </w:rPr>
            </w:pPr>
            <w:r>
              <w:rPr>
                <w:rFonts w:hint="eastAsia"/>
                <w:szCs w:val="21"/>
              </w:rPr>
              <w:t>4.大跨度（悬挑）结构等受力较大的幕墙支承结构以及与主体连接等，均应进行结构计算，包括拉索（杆）幕墙、雨篷、跨层幕墙、屋顶悬挑幕墙、采光顶等；</w:t>
            </w:r>
          </w:p>
          <w:p>
            <w:pPr>
              <w:spacing w:line="276" w:lineRule="auto"/>
              <w:rPr>
                <w:szCs w:val="21"/>
              </w:rPr>
            </w:pPr>
            <w:r>
              <w:rPr>
                <w:rFonts w:hint="eastAsia"/>
                <w:szCs w:val="21"/>
              </w:rPr>
              <w:t>5.有风洞试验报告的，风荷载标准值应按风洞试验和风荷载计算值进行对比后按JGJ/T338等相关标准进行取值；</w:t>
            </w:r>
          </w:p>
          <w:p>
            <w:pPr>
              <w:spacing w:line="276" w:lineRule="auto"/>
              <w:rPr>
                <w:szCs w:val="21"/>
              </w:rPr>
            </w:pPr>
            <w:r>
              <w:rPr>
                <w:rFonts w:hint="eastAsia"/>
                <w:szCs w:val="21"/>
              </w:rPr>
              <w:t>6.各幕墙系统应按工程情况计算大面区和墙角区，并应选择最不利荷载或受力部位进行计算；</w:t>
            </w:r>
          </w:p>
          <w:p>
            <w:pPr>
              <w:spacing w:line="276" w:lineRule="auto"/>
              <w:rPr>
                <w:szCs w:val="21"/>
              </w:rPr>
            </w:pPr>
            <w:r>
              <w:rPr>
                <w:rFonts w:hint="eastAsia"/>
                <w:szCs w:val="21"/>
              </w:rPr>
              <w:t>7.面板、支承和连接结构等计算模型应与图纸相一致；采用有限元软件进行计算时，应列出计算条件、荷载取值、计算模型、边界条件、主要受力件的强度和刚度等，计算结果应采用云图表示并满足幕墙设计要求；</w:t>
            </w:r>
          </w:p>
          <w:p>
            <w:pPr>
              <w:spacing w:line="276" w:lineRule="auto"/>
              <w:rPr>
                <w:szCs w:val="21"/>
              </w:rPr>
            </w:pPr>
            <w:r>
              <w:rPr>
                <w:rFonts w:hint="eastAsia"/>
                <w:szCs w:val="21"/>
              </w:rPr>
              <w:t>8.采用后置埋件、背栓连接应进行连接系统的承载力计算；</w:t>
            </w:r>
          </w:p>
          <w:p>
            <w:pPr>
              <w:spacing w:line="276" w:lineRule="auto"/>
              <w:rPr>
                <w:szCs w:val="21"/>
              </w:rPr>
            </w:pPr>
            <w:r>
              <w:rPr>
                <w:rFonts w:hint="eastAsia"/>
                <w:szCs w:val="21"/>
              </w:rPr>
              <w:t>9.应提供开启窗、悬挑大装饰条或装饰造型的结构计算，计算内容应包括所有传力的构件、配件及连接等；</w:t>
            </w:r>
          </w:p>
          <w:p>
            <w:pPr>
              <w:spacing w:line="276" w:lineRule="auto"/>
              <w:rPr>
                <w:szCs w:val="21"/>
              </w:rPr>
            </w:pPr>
            <w:r>
              <w:rPr>
                <w:rFonts w:hint="eastAsia"/>
                <w:szCs w:val="21"/>
              </w:rPr>
              <w:t>10.支承索（杆）结构计算应提供索（杆）的预张拉力值，跨度大于8米的，必须有主体结构设计单位出具的技术文件，确认主体结构能够承受索（杆）体系的结构反力。</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Calibri" w:hAnsi="Calibri"/>
                <w:szCs w:val="21"/>
              </w:rPr>
            </w:pPr>
            <w:r>
              <w:rPr>
                <w:rFonts w:hint="eastAsia" w:ascii="Calibri" w:hAnsi="Calibri"/>
                <w:szCs w:val="21"/>
              </w:rPr>
              <w:t>1.大跨度（悬挑）支承结构等计算出现漏项、计算结果不满足工程设计要求，扣10-20分；</w:t>
            </w:r>
          </w:p>
          <w:p>
            <w:pPr>
              <w:snapToGrid w:val="0"/>
              <w:spacing w:line="288" w:lineRule="auto"/>
              <w:rPr>
                <w:rFonts w:ascii="Calibri" w:hAnsi="Calibri"/>
                <w:szCs w:val="21"/>
              </w:rPr>
            </w:pPr>
            <w:r>
              <w:rPr>
                <w:rFonts w:hint="eastAsia" w:ascii="Calibri" w:hAnsi="Calibri"/>
                <w:szCs w:val="21"/>
              </w:rPr>
              <w:t>2.结构计算出现漏项、计算有误的，每项扣1-3分；</w:t>
            </w:r>
          </w:p>
          <w:p>
            <w:pPr>
              <w:snapToGrid w:val="0"/>
              <w:spacing w:line="288" w:lineRule="auto"/>
              <w:rPr>
                <w:rFonts w:ascii="Calibri" w:hAnsi="Calibri"/>
                <w:szCs w:val="21"/>
              </w:rPr>
            </w:pPr>
            <w:r>
              <w:rPr>
                <w:rFonts w:hint="eastAsia" w:ascii="Calibri" w:hAnsi="Calibri"/>
                <w:szCs w:val="21"/>
              </w:rPr>
              <w:t>3.缺幕墙墙角区计算、结构胶（含中空玻璃间层结构胶）计算的，每项扣3-5分；</w:t>
            </w:r>
          </w:p>
          <w:p>
            <w:pPr>
              <w:snapToGrid w:val="0"/>
              <w:spacing w:line="288" w:lineRule="auto"/>
              <w:rPr>
                <w:rFonts w:ascii="Calibri" w:hAnsi="Calibri"/>
                <w:szCs w:val="21"/>
              </w:rPr>
            </w:pPr>
            <w:r>
              <w:rPr>
                <w:rFonts w:hint="eastAsia" w:ascii="Calibri" w:hAnsi="Calibri"/>
                <w:szCs w:val="21"/>
              </w:rPr>
              <w:t>4.其它不符合要求或不合规情况，每项扣1-3分。</w:t>
            </w:r>
          </w:p>
        </w:tc>
        <w:tc>
          <w:tcPr>
            <w:tcW w:w="1843" w:type="dxa"/>
            <w:tcBorders>
              <w:left w:val="single" w:color="auto" w:sz="4" w:space="0"/>
              <w:right w:val="single" w:color="auto" w:sz="4" w:space="0"/>
            </w:tcBorders>
            <w:noWrap w:val="0"/>
            <w:vAlign w:val="center"/>
          </w:tcPr>
          <w:p>
            <w:pPr>
              <w:snapToGrid w:val="0"/>
              <w:spacing w:line="288" w:lineRule="auto"/>
              <w:rPr>
                <w:szCs w:val="21"/>
              </w:rPr>
            </w:pPr>
            <w:r>
              <w:rPr>
                <w:rFonts w:hint="eastAsia"/>
                <w:szCs w:val="21"/>
              </w:rPr>
              <w:t>结构计算跨度大于8米或悬挑跨度大于4米的结构为大跨度结构。</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结合工程实体，按结构计算要求的内容进行逐项复查。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567" w:type="dxa"/>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Calibri" w:hAnsi="Calibri"/>
                <w:szCs w:val="21"/>
              </w:rPr>
            </w:pPr>
            <w:r>
              <w:rPr>
                <w:rFonts w:hint="eastAsia" w:ascii="Calibri" w:hAnsi="Calibri"/>
                <w:szCs w:val="21"/>
              </w:rPr>
              <w:t>1</w:t>
            </w:r>
            <w:r>
              <w:rPr>
                <w:rFonts w:ascii="Calibri" w:hAnsi="Calibri"/>
                <w:szCs w:val="21"/>
              </w:rPr>
              <w:t>.</w:t>
            </w:r>
            <w:r>
              <w:rPr>
                <w:rFonts w:hint="eastAsia" w:ascii="Calibri" w:hAnsi="Calibri"/>
                <w:szCs w:val="21"/>
              </w:rPr>
              <w:t>采用了新材料、新技术、新工艺，且提供了相应的证明资料（论证报告、鉴定报告等）；</w:t>
            </w:r>
          </w:p>
          <w:p>
            <w:pPr>
              <w:snapToGrid w:val="0"/>
              <w:spacing w:line="360" w:lineRule="auto"/>
              <w:rPr>
                <w:rFonts w:ascii="Calibri" w:hAnsi="Calibri"/>
                <w:szCs w:val="21"/>
              </w:rPr>
            </w:pPr>
            <w:r>
              <w:rPr>
                <w:rFonts w:hint="eastAsia" w:ascii="Calibri" w:hAnsi="Calibri"/>
                <w:szCs w:val="21"/>
              </w:rPr>
              <w:t>2</w:t>
            </w:r>
            <w:r>
              <w:rPr>
                <w:rFonts w:ascii="Calibri" w:hAnsi="Calibri"/>
                <w:szCs w:val="21"/>
              </w:rPr>
              <w:t>.</w:t>
            </w:r>
            <w:r>
              <w:rPr>
                <w:rFonts w:hint="eastAsia" w:ascii="Calibri" w:hAnsi="Calibri"/>
                <w:szCs w:val="21"/>
              </w:rPr>
              <w:t>幕墙的节点构造设计具有创新性、实用性和推广性，或具有较显著经济效益；</w:t>
            </w:r>
          </w:p>
          <w:p>
            <w:pPr>
              <w:snapToGrid w:val="0"/>
              <w:spacing w:line="360"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已在国内相关专业期刊上发表了设计技术论文；</w:t>
            </w:r>
          </w:p>
          <w:p>
            <w:pPr>
              <w:snapToGrid w:val="0"/>
              <w:spacing w:line="360" w:lineRule="auto"/>
              <w:rPr>
                <w:rFonts w:ascii="Calibri" w:hAnsi="Calibri"/>
                <w:szCs w:val="21"/>
              </w:rPr>
            </w:pPr>
            <w:r>
              <w:rPr>
                <w:rFonts w:hint="eastAsia" w:ascii="Calibri" w:hAnsi="Calibri"/>
                <w:szCs w:val="21"/>
              </w:rPr>
              <w:t>4</w:t>
            </w:r>
            <w:r>
              <w:rPr>
                <w:rFonts w:ascii="Calibri" w:hAnsi="Calibri"/>
                <w:szCs w:val="21"/>
              </w:rPr>
              <w:t>.</w:t>
            </w:r>
            <w:r>
              <w:rPr>
                <w:rFonts w:hint="eastAsia" w:ascii="Calibri" w:hAnsi="Calibri"/>
                <w:szCs w:val="21"/>
              </w:rPr>
              <w:t>已获得与申报工程设计相关的发明专利和实用新型专利；</w:t>
            </w:r>
          </w:p>
          <w:p>
            <w:pPr>
              <w:snapToGrid w:val="0"/>
              <w:spacing w:line="360" w:lineRule="auto"/>
              <w:rPr>
                <w:rFonts w:ascii="Calibri" w:hAnsi="Calibri"/>
                <w:szCs w:val="21"/>
              </w:rPr>
            </w:pPr>
            <w:r>
              <w:rPr>
                <w:rFonts w:hint="eastAsia" w:ascii="Calibri" w:hAnsi="Calibri"/>
                <w:szCs w:val="21"/>
              </w:rPr>
              <w:t>5</w:t>
            </w:r>
            <w:r>
              <w:rPr>
                <w:rFonts w:ascii="Calibri" w:hAnsi="Calibri"/>
                <w:szCs w:val="21"/>
              </w:rPr>
              <w:t>.</w:t>
            </w:r>
            <w:r>
              <w:rPr>
                <w:rFonts w:hint="eastAsia" w:ascii="Calibri" w:hAnsi="Calibri"/>
                <w:szCs w:val="21"/>
              </w:rPr>
              <w:t>本工程已获得建筑装饰行业科学技术奖；</w:t>
            </w:r>
          </w:p>
          <w:p>
            <w:pPr>
              <w:snapToGrid w:val="0"/>
              <w:spacing w:line="360" w:lineRule="auto"/>
              <w:rPr>
                <w:rFonts w:ascii="Calibri" w:hAnsi="Calibri"/>
                <w:szCs w:val="21"/>
              </w:rPr>
            </w:pPr>
            <w:r>
              <w:rPr>
                <w:rFonts w:hint="eastAsia" w:ascii="Calibri" w:hAnsi="Calibri"/>
                <w:szCs w:val="21"/>
              </w:rPr>
              <w:t>6</w:t>
            </w:r>
            <w:r>
              <w:rPr>
                <w:rFonts w:ascii="Calibri" w:hAnsi="Calibri"/>
                <w:szCs w:val="21"/>
              </w:rPr>
              <w:t>.</w:t>
            </w:r>
            <w:r>
              <w:rPr>
                <w:rFonts w:hint="eastAsia" w:ascii="Calibri" w:hAnsi="Calibri"/>
                <w:szCs w:val="21"/>
              </w:rPr>
              <w:t>装配化技术使用情况。</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缺少其中内容，扣0.5-3分。</w:t>
            </w:r>
          </w:p>
        </w:tc>
        <w:tc>
          <w:tcPr>
            <w:tcW w:w="1843"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查：工程实体、图纸、质量管理与技术资料等。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567" w:type="dxa"/>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7</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szCs w:val="21"/>
              </w:rPr>
            </w:pPr>
            <w:r>
              <w:rPr>
                <w:rFonts w:hint="eastAsia"/>
                <w:szCs w:val="21"/>
              </w:rPr>
              <w:t>1</w:t>
            </w:r>
            <w:r>
              <w:rPr>
                <w:szCs w:val="21"/>
              </w:rPr>
              <w:t>.</w:t>
            </w:r>
            <w:r>
              <w:rPr>
                <w:rFonts w:hint="eastAsia"/>
                <w:szCs w:val="21"/>
              </w:rPr>
              <w:t>组织工作准备充分，人员到位（项目设计负责人和设计师应到场参加汇报）；</w:t>
            </w:r>
          </w:p>
          <w:p>
            <w:pPr>
              <w:snapToGrid w:val="0"/>
              <w:spacing w:line="360" w:lineRule="auto"/>
              <w:rPr>
                <w:szCs w:val="21"/>
              </w:rPr>
            </w:pPr>
            <w:r>
              <w:rPr>
                <w:rFonts w:hint="eastAsia"/>
                <w:szCs w:val="21"/>
              </w:rPr>
              <w:t>2</w:t>
            </w:r>
            <w:r>
              <w:rPr>
                <w:szCs w:val="21"/>
              </w:rPr>
              <w:t>.</w:t>
            </w:r>
            <w:r>
              <w:rPr>
                <w:rFonts w:hint="eastAsia"/>
                <w:szCs w:val="21"/>
              </w:rPr>
              <w:t>汇报PPT内容重点突出、清晰简洁，并应提供整体与局部实景照片。</w:t>
            </w:r>
          </w:p>
          <w:p>
            <w:pPr>
              <w:snapToGrid w:val="0"/>
              <w:spacing w:line="360" w:lineRule="auto"/>
              <w:rPr>
                <w:szCs w:val="21"/>
              </w:rPr>
            </w:pPr>
            <w:r>
              <w:rPr>
                <w:rFonts w:hint="eastAsia"/>
                <w:szCs w:val="21"/>
              </w:rPr>
              <w:t>3</w:t>
            </w:r>
            <w:r>
              <w:rPr>
                <w:szCs w:val="21"/>
              </w:rPr>
              <w:t>.</w:t>
            </w:r>
            <w:r>
              <w:rPr>
                <w:rFonts w:hint="eastAsia"/>
                <w:szCs w:val="21"/>
              </w:rPr>
              <w:t>资料准备充分有序，易于查找；</w:t>
            </w:r>
          </w:p>
          <w:p>
            <w:pPr>
              <w:snapToGrid w:val="0"/>
              <w:spacing w:line="360" w:lineRule="auto"/>
              <w:rPr>
                <w:szCs w:val="21"/>
              </w:rPr>
            </w:pPr>
            <w:r>
              <w:rPr>
                <w:rFonts w:hint="eastAsia"/>
                <w:szCs w:val="21"/>
              </w:rPr>
              <w:t>4</w:t>
            </w:r>
            <w:r>
              <w:rPr>
                <w:szCs w:val="21"/>
              </w:rPr>
              <w:t>.</w:t>
            </w:r>
            <w:r>
              <w:rPr>
                <w:rFonts w:hint="eastAsia"/>
                <w:szCs w:val="21"/>
              </w:rPr>
              <w:t>用户沟通意见。</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szCs w:val="21"/>
              </w:rPr>
            </w:pPr>
            <w:r>
              <w:rPr>
                <w:rFonts w:hint="eastAsia"/>
                <w:szCs w:val="21"/>
              </w:rPr>
              <w:t>1</w:t>
            </w:r>
            <w:r>
              <w:rPr>
                <w:szCs w:val="21"/>
              </w:rPr>
              <w:t>.</w:t>
            </w:r>
            <w:r>
              <w:rPr>
                <w:rFonts w:hint="eastAsia"/>
                <w:szCs w:val="21"/>
              </w:rPr>
              <w:t>主要人员、资料、过程安排准备不足，扣3-10分；</w:t>
            </w:r>
          </w:p>
          <w:p>
            <w:pPr>
              <w:snapToGrid w:val="0"/>
              <w:spacing w:line="276" w:lineRule="auto"/>
              <w:rPr>
                <w:szCs w:val="21"/>
              </w:rPr>
            </w:pPr>
            <w:r>
              <w:rPr>
                <w:rFonts w:hint="eastAsia"/>
                <w:szCs w:val="21"/>
              </w:rPr>
              <w:t>2</w:t>
            </w:r>
            <w:r>
              <w:rPr>
                <w:szCs w:val="21"/>
              </w:rPr>
              <w:t>.</w:t>
            </w:r>
            <w:r>
              <w:rPr>
                <w:rFonts w:hint="eastAsia"/>
                <w:szCs w:val="21"/>
              </w:rPr>
              <w:t>未做PPT及纸质版汇报资料，扣3-5分；</w:t>
            </w:r>
          </w:p>
          <w:p>
            <w:pPr>
              <w:snapToGrid w:val="0"/>
              <w:spacing w:line="276" w:lineRule="auto"/>
              <w:rPr>
                <w:szCs w:val="21"/>
              </w:rPr>
            </w:pPr>
            <w:r>
              <w:rPr>
                <w:rFonts w:hint="eastAsia"/>
                <w:szCs w:val="21"/>
              </w:rPr>
              <w:t>3</w:t>
            </w:r>
            <w:r>
              <w:rPr>
                <w:szCs w:val="21"/>
              </w:rPr>
              <w:t>.其它不规范、不到位情况每项扣</w:t>
            </w:r>
            <w:r>
              <w:rPr>
                <w:rFonts w:hint="eastAsia"/>
                <w:szCs w:val="21"/>
              </w:rPr>
              <w:t>0.5-1分。</w:t>
            </w:r>
          </w:p>
        </w:tc>
        <w:tc>
          <w:tcPr>
            <w:tcW w:w="1843"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szCs w:val="21"/>
              </w:rPr>
            </w:pPr>
            <w:r>
              <w:rPr>
                <w:rFonts w:hint="eastAsia"/>
                <w:szCs w:val="21"/>
              </w:rPr>
              <w:t>查：</w:t>
            </w:r>
          </w:p>
          <w:p>
            <w:pPr>
              <w:snapToGrid w:val="0"/>
              <w:spacing w:line="288" w:lineRule="auto"/>
              <w:rPr>
                <w:szCs w:val="21"/>
              </w:rPr>
            </w:pPr>
            <w:r>
              <w:rPr>
                <w:rFonts w:hint="eastAsia"/>
                <w:szCs w:val="21"/>
              </w:rPr>
              <w:t>1</w:t>
            </w:r>
            <w:r>
              <w:rPr>
                <w:szCs w:val="21"/>
              </w:rPr>
              <w:t>.</w:t>
            </w:r>
            <w:r>
              <w:rPr>
                <w:rFonts w:hint="eastAsia"/>
                <w:szCs w:val="21"/>
              </w:rPr>
              <w:t>组织准备情况等；</w:t>
            </w:r>
          </w:p>
          <w:p>
            <w:pPr>
              <w:snapToGrid w:val="0"/>
              <w:spacing w:line="288" w:lineRule="auto"/>
              <w:rPr>
                <w:szCs w:val="21"/>
              </w:rPr>
            </w:pPr>
            <w:r>
              <w:rPr>
                <w:szCs w:val="21"/>
              </w:rPr>
              <w:t>2.</w:t>
            </w:r>
            <w:r>
              <w:rPr>
                <w:rFonts w:hint="eastAsia"/>
                <w:szCs w:val="21"/>
              </w:rPr>
              <w:t>PPT（汇报时间不超过10分钟）。</w:t>
            </w:r>
          </w:p>
          <w:p>
            <w:pPr>
              <w:snapToGrid w:val="0"/>
              <w:spacing w:line="288" w:lineRule="auto"/>
              <w:rPr>
                <w:szCs w:val="21"/>
              </w:rPr>
            </w:pPr>
            <w:r>
              <w:rPr>
                <w:szCs w:val="21"/>
              </w:rPr>
              <w:t>3.</w:t>
            </w:r>
            <w:r>
              <w:rPr>
                <w:rFonts w:hint="eastAsia"/>
                <w:szCs w:val="21"/>
              </w:rPr>
              <w:t>用户意见。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B3FF4"/>
    <w:multiLevelType w:val="singleLevel"/>
    <w:tmpl w:val="F10B3F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35063757"/>
    <w:rsid w:val="3506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2024-03-12T10:59:00Z</dcterms:created>
  <dc:creator>李艳</dc:creator>
  <cp:lastModifiedBy>李艳</cp:lastModifiedBy>
  <dcterms:modified xsi:type="dcterms:W3CDTF">2024-03-12T10:59:32Z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3F0DC8F539374EBA82E00F6E2A84A60F_11</vt:lpwstr>
  </property>
</Properties>
</file>