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outlineLvl w:val="2"/>
        <w:rPr>
          <w:rFonts w:hint="eastAsia" w:ascii="黑体" w:hAnsi="黑体" w:eastAsia="黑体" w:cs="黑体"/>
          <w:spacing w:val="-4"/>
          <w:sz w:val="32"/>
          <w:szCs w:val="32"/>
        </w:rPr>
      </w:pPr>
      <w:bookmarkStart w:id="0" w:name="_Toc26119"/>
      <w:r>
        <w:rPr>
          <w:rFonts w:hint="eastAsia" w:ascii="黑体" w:hAnsi="黑体" w:eastAsia="黑体" w:cs="黑体"/>
          <w:spacing w:val="-4"/>
          <w:sz w:val="32"/>
          <w:szCs w:val="32"/>
        </w:rPr>
        <w:t>附件</w:t>
      </w:r>
      <w:r>
        <w:rPr>
          <w:rFonts w:ascii="黑体" w:hAnsi="黑体" w:eastAsia="黑体" w:cs="黑体"/>
          <w:spacing w:val="-4"/>
          <w:sz w:val="32"/>
          <w:szCs w:val="32"/>
        </w:rPr>
        <w:t>4</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中国建筑工程装饰奖工程复查实施细则</w:t>
      </w:r>
    </w:p>
    <w:p>
      <w:pPr>
        <w:snapToGrid w:val="0"/>
        <w:spacing w:line="360" w:lineRule="auto"/>
        <w:jc w:val="center"/>
        <w:rPr>
          <w:rFonts w:eastAsia="黑体"/>
          <w:b/>
          <w:bCs/>
          <w:sz w:val="20"/>
        </w:rPr>
      </w:pPr>
      <w:r>
        <w:rPr>
          <w:rFonts w:hint="eastAsia" w:ascii="宋体" w:hAnsi="宋体"/>
          <w:spacing w:val="-4"/>
          <w:sz w:val="30"/>
          <w:szCs w:val="30"/>
        </w:rPr>
        <w:t>公共建筑装饰类（展陈工程）</w:t>
      </w:r>
    </w:p>
    <w:p>
      <w:pPr>
        <w:numPr>
          <w:ilvl w:val="0"/>
          <w:numId w:val="1"/>
        </w:numPr>
        <w:adjustRightInd w:val="0"/>
        <w:snapToGrid w:val="0"/>
        <w:spacing w:line="360" w:lineRule="auto"/>
        <w:ind w:firstLine="480" w:firstLineChars="200"/>
        <w:outlineLvl w:val="1"/>
        <w:rPr>
          <w:rFonts w:hint="eastAsia" w:eastAsia="黑体"/>
          <w:bCs/>
          <w:sz w:val="24"/>
        </w:rPr>
      </w:pPr>
      <w:bookmarkStart w:id="1" w:name="_Toc27668"/>
      <w:r>
        <w:rPr>
          <w:rFonts w:hint="eastAsia" w:eastAsia="黑体"/>
          <w:bCs/>
          <w:sz w:val="24"/>
        </w:rPr>
        <w:t>评分标准及要求：</w:t>
      </w:r>
      <w:bookmarkEnd w:id="1"/>
    </w:p>
    <w:p>
      <w:pPr>
        <w:adjustRightInd w:val="0"/>
        <w:snapToGrid w:val="0"/>
        <w:spacing w:line="360" w:lineRule="auto"/>
        <w:ind w:firstLine="480" w:firstLineChars="200"/>
        <w:rPr>
          <w:rFonts w:hint="eastAsia"/>
          <w:sz w:val="24"/>
        </w:rPr>
      </w:pPr>
      <w:r>
        <w:rPr>
          <w:rFonts w:hint="eastAsia"/>
          <w:sz w:val="24"/>
        </w:rPr>
        <w:t>展陈工程（不含并列承建）：项目合同金额或结算金额不低于1000万元人民币（含展品展项及设备）且展陈面积不低于1000㎡。</w:t>
      </w:r>
    </w:p>
    <w:p>
      <w:pPr>
        <w:adjustRightInd w:val="0"/>
        <w:snapToGrid w:val="0"/>
        <w:spacing w:line="360" w:lineRule="auto"/>
        <w:ind w:firstLine="480" w:firstLineChars="200"/>
        <w:rPr>
          <w:sz w:val="24"/>
        </w:rPr>
      </w:pPr>
      <w:r>
        <w:rPr>
          <w:rFonts w:hint="eastAsia"/>
          <w:sz w:val="24"/>
        </w:rPr>
        <w:t>鉴于复查项目的工程性质、类别、规模、使用的材料采用的工艺等各方面差别较大，故复查工程的评分采用扣分法，本细则重点列出了资料、地面、吊顶（设备）、墙柱面、展台展柜展板、图文、数字媒体界面、导览导视系统、展品展项、总体印象、科技创新等几方面需要关注的质量通病和涉及安全与使用方面的问题，结合复查对查出的问题进行评分。项目复查总分为100分，建议推荐得分在80分以上的项目。详细分项和评分标准见《工程复查实施细则——公共建筑装饰类（展陈工程）》。</w:t>
      </w:r>
    </w:p>
    <w:p>
      <w:pPr>
        <w:adjustRightInd w:val="0"/>
        <w:snapToGrid w:val="0"/>
        <w:spacing w:line="360" w:lineRule="auto"/>
        <w:ind w:firstLine="480" w:firstLineChars="200"/>
        <w:rPr>
          <w:sz w:val="24"/>
        </w:rPr>
      </w:pPr>
      <w:r>
        <w:rPr>
          <w:rFonts w:hint="eastAsia"/>
          <w:sz w:val="24"/>
        </w:rPr>
        <w:t>《工程复查实施细则——公共建筑装饰类（展陈工程）》中所列均为项目复查的必查和主查内容，各复查小组可根据项目实际情况做必要的补充和调整，但必查内容不可取消。复查评分严格按照各项要求及评分标准进行复查评分，并将各大项评分记录在申报表工程复查表中。</w:t>
      </w:r>
    </w:p>
    <w:p>
      <w:pPr>
        <w:adjustRightInd w:val="0"/>
        <w:snapToGrid w:val="0"/>
        <w:spacing w:line="360" w:lineRule="auto"/>
        <w:ind w:firstLine="480" w:firstLineChars="200"/>
        <w:rPr>
          <w:sz w:val="24"/>
        </w:rPr>
      </w:pPr>
      <w:r>
        <w:rPr>
          <w:rFonts w:hint="eastAsia"/>
          <w:sz w:val="24"/>
        </w:rPr>
        <w:t>申报中国建筑工程装饰奖的单位需重视对工程安全隐患的排查及相关必要文件的准备，要求申报单位在申报前对如下方面进行自查，使其符合相应的国家强制性规范和标准以及装饰奖复查的要求。</w:t>
      </w:r>
    </w:p>
    <w:p>
      <w:pPr>
        <w:adjustRightInd w:val="0"/>
        <w:snapToGrid w:val="0"/>
        <w:spacing w:line="360" w:lineRule="auto"/>
        <w:ind w:firstLine="480" w:firstLineChars="200"/>
        <w:rPr>
          <w:sz w:val="24"/>
        </w:rPr>
      </w:pPr>
      <w:r>
        <w:rPr>
          <w:rFonts w:hint="eastAsia"/>
          <w:sz w:val="24"/>
        </w:rPr>
        <w:t>重点部位及资料：</w:t>
      </w:r>
    </w:p>
    <w:p>
      <w:pPr>
        <w:adjustRightInd w:val="0"/>
        <w:snapToGrid w:val="0"/>
        <w:spacing w:line="360" w:lineRule="auto"/>
        <w:ind w:firstLine="480" w:firstLineChars="200"/>
        <w:rPr>
          <w:sz w:val="24"/>
        </w:rPr>
      </w:pPr>
      <w:r>
        <w:rPr>
          <w:sz w:val="24"/>
        </w:rPr>
        <w:t>1.</w:t>
      </w:r>
      <w:r>
        <w:rPr>
          <w:rFonts w:hint="eastAsia"/>
          <w:sz w:val="24"/>
        </w:rPr>
        <w:t>改动建筑主体、承重结构、增加结构荷载；</w:t>
      </w:r>
    </w:p>
    <w:p>
      <w:pPr>
        <w:adjustRightInd w:val="0"/>
        <w:snapToGrid w:val="0"/>
        <w:spacing w:line="360" w:lineRule="auto"/>
        <w:ind w:firstLine="480" w:firstLineChars="200"/>
        <w:rPr>
          <w:sz w:val="24"/>
        </w:rPr>
      </w:pPr>
      <w:r>
        <w:rPr>
          <w:sz w:val="24"/>
        </w:rPr>
        <w:t>2.</w:t>
      </w:r>
      <w:r>
        <w:rPr>
          <w:rFonts w:hint="eastAsia"/>
          <w:sz w:val="24"/>
        </w:rPr>
        <w:t>室内石材吊顶、过顶石材及其它重型吊顶；</w:t>
      </w:r>
    </w:p>
    <w:p>
      <w:pPr>
        <w:adjustRightInd w:val="0"/>
        <w:snapToGrid w:val="0"/>
        <w:spacing w:line="360" w:lineRule="auto"/>
        <w:ind w:firstLine="480" w:firstLineChars="200"/>
        <w:rPr>
          <w:sz w:val="24"/>
        </w:rPr>
      </w:pPr>
      <w:r>
        <w:rPr>
          <w:sz w:val="24"/>
        </w:rPr>
        <w:t>3.</w:t>
      </w:r>
      <w:r>
        <w:rPr>
          <w:rFonts w:hint="eastAsia"/>
          <w:sz w:val="24"/>
        </w:rPr>
        <w:t>钢结构转换层（如顶部有空间网架或钢屋架等）与网架、吊顶连接；</w:t>
      </w:r>
    </w:p>
    <w:p>
      <w:pPr>
        <w:adjustRightInd w:val="0"/>
        <w:snapToGrid w:val="0"/>
        <w:spacing w:line="360" w:lineRule="auto"/>
        <w:ind w:firstLine="480" w:firstLineChars="200"/>
        <w:rPr>
          <w:sz w:val="24"/>
        </w:rPr>
      </w:pPr>
      <w:r>
        <w:rPr>
          <w:sz w:val="24"/>
        </w:rPr>
        <w:t>4.</w:t>
      </w:r>
      <w:r>
        <w:rPr>
          <w:rFonts w:hint="eastAsia"/>
          <w:sz w:val="24"/>
        </w:rPr>
        <w:t>大型吊灯、吊挂物（10kg及以上）安装的过载试验和相关隐蔽资料、墙面背景灯、潮湿有水部位的灯具安装；</w:t>
      </w:r>
    </w:p>
    <w:p>
      <w:pPr>
        <w:adjustRightInd w:val="0"/>
        <w:snapToGrid w:val="0"/>
        <w:spacing w:line="360" w:lineRule="auto"/>
        <w:ind w:firstLine="480" w:firstLineChars="200"/>
        <w:rPr>
          <w:sz w:val="24"/>
        </w:rPr>
      </w:pPr>
      <w:r>
        <w:rPr>
          <w:sz w:val="24"/>
        </w:rPr>
        <w:t>5.</w:t>
      </w:r>
      <w:r>
        <w:rPr>
          <w:rFonts w:hint="eastAsia"/>
          <w:sz w:val="24"/>
        </w:rPr>
        <w:t>安全玻璃：屋面、吊顶、墙面、地面等玻璃制品；</w:t>
      </w:r>
    </w:p>
    <w:p>
      <w:pPr>
        <w:adjustRightInd w:val="0"/>
        <w:snapToGrid w:val="0"/>
        <w:spacing w:line="360" w:lineRule="auto"/>
        <w:ind w:firstLine="480" w:firstLineChars="200"/>
        <w:rPr>
          <w:sz w:val="24"/>
        </w:rPr>
      </w:pPr>
      <w:r>
        <w:rPr>
          <w:sz w:val="24"/>
        </w:rPr>
        <w:t>6.</w:t>
      </w:r>
      <w:r>
        <w:rPr>
          <w:rFonts w:hint="eastAsia"/>
          <w:sz w:val="24"/>
        </w:rPr>
        <w:t>室内墙柱面石材、瓷砖或其它重型饰面材料干挂、挂贴；</w:t>
      </w:r>
    </w:p>
    <w:p>
      <w:pPr>
        <w:adjustRightInd w:val="0"/>
        <w:snapToGrid w:val="0"/>
        <w:spacing w:line="360" w:lineRule="auto"/>
        <w:ind w:firstLine="480" w:firstLineChars="200"/>
        <w:rPr>
          <w:sz w:val="24"/>
        </w:rPr>
      </w:pPr>
      <w:r>
        <w:rPr>
          <w:sz w:val="24"/>
        </w:rPr>
        <w:t>7.</w:t>
      </w:r>
      <w:r>
        <w:rPr>
          <w:rFonts w:hint="eastAsia"/>
          <w:sz w:val="24"/>
        </w:rPr>
        <w:t>较大、较重的活动隔断安装；</w:t>
      </w:r>
    </w:p>
    <w:p>
      <w:pPr>
        <w:adjustRightInd w:val="0"/>
        <w:snapToGrid w:val="0"/>
        <w:spacing w:line="360" w:lineRule="auto"/>
        <w:ind w:firstLine="480" w:firstLineChars="200"/>
        <w:rPr>
          <w:sz w:val="24"/>
        </w:rPr>
      </w:pPr>
      <w:r>
        <w:rPr>
          <w:sz w:val="24"/>
        </w:rPr>
        <w:t>8.</w:t>
      </w:r>
      <w:r>
        <w:rPr>
          <w:rFonts w:hint="eastAsia"/>
          <w:sz w:val="24"/>
        </w:rPr>
        <w:t>楼梯扶手及栏杆、栏板；</w:t>
      </w:r>
    </w:p>
    <w:p>
      <w:pPr>
        <w:adjustRightInd w:val="0"/>
        <w:snapToGrid w:val="0"/>
        <w:spacing w:line="360" w:lineRule="auto"/>
        <w:ind w:firstLine="480" w:firstLineChars="200"/>
        <w:rPr>
          <w:sz w:val="24"/>
        </w:rPr>
      </w:pPr>
      <w:r>
        <w:rPr>
          <w:sz w:val="24"/>
        </w:rPr>
        <w:t>9.</w:t>
      </w:r>
      <w:r>
        <w:rPr>
          <w:rFonts w:hint="eastAsia"/>
          <w:sz w:val="24"/>
        </w:rPr>
        <w:t>变形缝及其构造；</w:t>
      </w:r>
    </w:p>
    <w:p>
      <w:pPr>
        <w:adjustRightInd w:val="0"/>
        <w:snapToGrid w:val="0"/>
        <w:spacing w:line="360" w:lineRule="auto"/>
        <w:ind w:firstLine="480" w:firstLineChars="200"/>
        <w:rPr>
          <w:sz w:val="24"/>
        </w:rPr>
      </w:pPr>
      <w:r>
        <w:rPr>
          <w:sz w:val="24"/>
        </w:rPr>
        <w:t>10.</w:t>
      </w:r>
      <w:r>
        <w:rPr>
          <w:rFonts w:hint="eastAsia"/>
          <w:sz w:val="24"/>
        </w:rPr>
        <w:t>顶棚、墙面、地面等部位的装饰材料是否符合防火要求；</w:t>
      </w:r>
    </w:p>
    <w:p>
      <w:pPr>
        <w:adjustRightInd w:val="0"/>
        <w:snapToGrid w:val="0"/>
        <w:spacing w:line="360" w:lineRule="auto"/>
        <w:ind w:firstLine="480" w:firstLineChars="200"/>
        <w:rPr>
          <w:sz w:val="24"/>
        </w:rPr>
      </w:pPr>
      <w:r>
        <w:rPr>
          <w:sz w:val="24"/>
        </w:rPr>
        <w:t>11.</w:t>
      </w:r>
      <w:r>
        <w:rPr>
          <w:rFonts w:hint="eastAsia"/>
          <w:sz w:val="24"/>
        </w:rPr>
        <w:t>开关、插座的接线及防火隔热措施；天花吊顶内的接线。</w:t>
      </w:r>
    </w:p>
    <w:p>
      <w:pPr>
        <w:adjustRightInd w:val="0"/>
        <w:snapToGrid w:val="0"/>
        <w:spacing w:line="360" w:lineRule="auto"/>
        <w:ind w:firstLine="480" w:firstLineChars="200"/>
        <w:rPr>
          <w:sz w:val="24"/>
        </w:rPr>
      </w:pPr>
      <w:r>
        <w:rPr>
          <w:rFonts w:hint="eastAsia"/>
          <w:sz w:val="24"/>
        </w:rPr>
        <w:t>12.展台展柜展板的制作安装；</w:t>
      </w:r>
    </w:p>
    <w:p>
      <w:pPr>
        <w:adjustRightInd w:val="0"/>
        <w:snapToGrid w:val="0"/>
        <w:spacing w:line="360" w:lineRule="auto"/>
        <w:ind w:firstLine="480" w:firstLineChars="200"/>
        <w:rPr>
          <w:sz w:val="24"/>
        </w:rPr>
      </w:pPr>
      <w:r>
        <w:rPr>
          <w:rFonts w:hint="eastAsia"/>
          <w:sz w:val="24"/>
        </w:rPr>
        <w:t>13.展品展项、导览导视系统；</w:t>
      </w:r>
    </w:p>
    <w:p>
      <w:pPr>
        <w:adjustRightInd w:val="0"/>
        <w:snapToGrid w:val="0"/>
        <w:spacing w:line="360" w:lineRule="auto"/>
        <w:ind w:firstLine="480" w:firstLineChars="200"/>
        <w:rPr>
          <w:sz w:val="24"/>
        </w:rPr>
      </w:pPr>
      <w:r>
        <w:rPr>
          <w:rFonts w:hint="eastAsia"/>
          <w:sz w:val="24"/>
        </w:rPr>
        <w:t>14.申报项目必要资料是否真实及齐全，特别是开竣工日期、施工许可证、消防验收、各种材料复试报告、各项试验报告（螺栓拉拔、灯具过载试验、护栏结构的锚固等）、室内环境污染物检测报告；竣工图纸签字盖章是否齐全、重点节点图是否齐全。</w:t>
      </w:r>
    </w:p>
    <w:p>
      <w:pPr>
        <w:adjustRightInd w:val="0"/>
        <w:snapToGrid w:val="0"/>
        <w:spacing w:line="360" w:lineRule="auto"/>
        <w:ind w:firstLine="480" w:firstLineChars="200"/>
        <w:rPr>
          <w:sz w:val="24"/>
        </w:rPr>
      </w:pPr>
      <w:r>
        <w:rPr>
          <w:rFonts w:hint="eastAsia"/>
          <w:sz w:val="24"/>
        </w:rPr>
        <w:t>以上所列均为工程复查的必查和主查内容，各复查小组可根据工程实际情况，作必要的补充和调整，但必查项目不可取消。</w:t>
      </w:r>
    </w:p>
    <w:p>
      <w:pPr>
        <w:numPr>
          <w:ilvl w:val="0"/>
          <w:numId w:val="1"/>
        </w:numPr>
        <w:adjustRightInd w:val="0"/>
        <w:snapToGrid w:val="0"/>
        <w:spacing w:line="360" w:lineRule="auto"/>
        <w:ind w:firstLine="480" w:firstLineChars="200"/>
        <w:outlineLvl w:val="1"/>
        <w:rPr>
          <w:rFonts w:hint="eastAsia" w:eastAsia="黑体"/>
          <w:bCs/>
          <w:sz w:val="24"/>
        </w:rPr>
      </w:pPr>
      <w:bookmarkStart w:id="2" w:name="_Toc2204"/>
      <w:r>
        <w:rPr>
          <w:rFonts w:hint="eastAsia" w:eastAsia="黑体"/>
          <w:bCs/>
          <w:sz w:val="24"/>
        </w:rPr>
        <w:t>主要执行规范和标准：</w:t>
      </w:r>
      <w:bookmarkEnd w:id="2"/>
    </w:p>
    <w:p>
      <w:pPr>
        <w:pStyle w:val="5"/>
        <w:spacing w:line="360" w:lineRule="auto"/>
        <w:ind w:firstLine="480"/>
        <w:rPr>
          <w:sz w:val="24"/>
        </w:rPr>
      </w:pPr>
      <w:r>
        <w:rPr>
          <w:rFonts w:hint="eastAsia"/>
          <w:sz w:val="24"/>
        </w:rPr>
        <w:t>1</w:t>
      </w:r>
      <w:r>
        <w:rPr>
          <w:sz w:val="24"/>
        </w:rPr>
        <w:t>.</w:t>
      </w:r>
      <w:r>
        <w:rPr>
          <w:rFonts w:hint="eastAsia"/>
          <w:sz w:val="24"/>
        </w:rPr>
        <w:t>《建筑工程施工质量验收统一标准》GB50300-2013</w:t>
      </w:r>
    </w:p>
    <w:p>
      <w:pPr>
        <w:pStyle w:val="5"/>
        <w:spacing w:line="360" w:lineRule="auto"/>
        <w:ind w:firstLine="480"/>
        <w:rPr>
          <w:sz w:val="24"/>
        </w:rPr>
      </w:pPr>
      <w:r>
        <w:rPr>
          <w:rFonts w:hint="eastAsia"/>
          <w:sz w:val="24"/>
        </w:rPr>
        <w:t>2</w:t>
      </w:r>
      <w:r>
        <w:rPr>
          <w:sz w:val="24"/>
        </w:rPr>
        <w:t>.</w:t>
      </w:r>
      <w:r>
        <w:rPr>
          <w:rFonts w:hint="eastAsia"/>
          <w:sz w:val="24"/>
        </w:rPr>
        <w:t>《建筑地面工程施工质量验收规范》GB50209-2010</w:t>
      </w:r>
    </w:p>
    <w:p>
      <w:pPr>
        <w:pStyle w:val="5"/>
        <w:spacing w:line="360" w:lineRule="auto"/>
        <w:ind w:firstLine="480"/>
        <w:rPr>
          <w:sz w:val="24"/>
        </w:rPr>
      </w:pPr>
      <w:r>
        <w:rPr>
          <w:rFonts w:hint="eastAsia"/>
          <w:sz w:val="24"/>
        </w:rPr>
        <w:t>3</w:t>
      </w:r>
      <w:r>
        <w:rPr>
          <w:sz w:val="24"/>
        </w:rPr>
        <w:t>.</w:t>
      </w:r>
      <w:r>
        <w:rPr>
          <w:rFonts w:hint="eastAsia"/>
          <w:sz w:val="24"/>
        </w:rPr>
        <w:t>《建筑装饰装修工程质量验收标准》GB50210-20</w:t>
      </w:r>
      <w:r>
        <w:rPr>
          <w:sz w:val="24"/>
        </w:rPr>
        <w:t>18</w:t>
      </w:r>
    </w:p>
    <w:p>
      <w:pPr>
        <w:pStyle w:val="5"/>
        <w:spacing w:line="360" w:lineRule="auto"/>
        <w:ind w:firstLine="480"/>
        <w:rPr>
          <w:sz w:val="24"/>
        </w:rPr>
      </w:pPr>
      <w:r>
        <w:rPr>
          <w:rFonts w:hint="eastAsia"/>
          <w:sz w:val="24"/>
        </w:rPr>
        <w:t>4</w:t>
      </w:r>
      <w:r>
        <w:rPr>
          <w:sz w:val="24"/>
        </w:rPr>
        <w:t>.</w:t>
      </w:r>
      <w:r>
        <w:rPr>
          <w:rFonts w:hint="eastAsia"/>
          <w:sz w:val="24"/>
        </w:rPr>
        <w:t>《建筑内部装修防火施工及验收规范》GB50354-2005</w:t>
      </w:r>
    </w:p>
    <w:p>
      <w:pPr>
        <w:pStyle w:val="5"/>
        <w:spacing w:line="360" w:lineRule="auto"/>
        <w:ind w:firstLine="480"/>
        <w:outlineLvl w:val="2"/>
        <w:rPr>
          <w:sz w:val="24"/>
        </w:rPr>
      </w:pPr>
      <w:bookmarkStart w:id="3" w:name="_Toc12267"/>
      <w:r>
        <w:rPr>
          <w:rFonts w:hint="eastAsia"/>
          <w:sz w:val="24"/>
        </w:rPr>
        <w:t>5．《建筑节能工程施工质量验收标准》GB50411-2019</w:t>
      </w:r>
      <w:bookmarkEnd w:id="3"/>
    </w:p>
    <w:p>
      <w:pPr>
        <w:pStyle w:val="5"/>
        <w:spacing w:line="360" w:lineRule="auto"/>
        <w:ind w:firstLine="480"/>
        <w:rPr>
          <w:sz w:val="24"/>
        </w:rPr>
      </w:pPr>
      <w:r>
        <w:rPr>
          <w:rFonts w:hint="eastAsia"/>
          <w:sz w:val="24"/>
        </w:rPr>
        <w:t>6．《民用建筑工程室内环境污染控制标准》GB50325-2020</w:t>
      </w:r>
    </w:p>
    <w:p>
      <w:pPr>
        <w:pStyle w:val="5"/>
        <w:spacing w:line="360" w:lineRule="auto"/>
        <w:ind w:firstLine="480"/>
        <w:rPr>
          <w:sz w:val="24"/>
        </w:rPr>
      </w:pPr>
      <w:r>
        <w:rPr>
          <w:rFonts w:hint="eastAsia"/>
          <w:sz w:val="24"/>
        </w:rPr>
        <w:t>7</w:t>
      </w:r>
      <w:r>
        <w:rPr>
          <w:sz w:val="24"/>
        </w:rPr>
        <w:t>.</w:t>
      </w:r>
      <w:r>
        <w:rPr>
          <w:rFonts w:hint="eastAsia"/>
          <w:sz w:val="24"/>
        </w:rPr>
        <w:t>《建筑环境通用规范》GB</w:t>
      </w:r>
      <w:r>
        <w:rPr>
          <w:sz w:val="24"/>
        </w:rPr>
        <w:t>55016</w:t>
      </w:r>
      <w:r>
        <w:rPr>
          <w:rFonts w:hint="eastAsia"/>
          <w:sz w:val="24"/>
        </w:rPr>
        <w:t>-20</w:t>
      </w:r>
      <w:r>
        <w:rPr>
          <w:sz w:val="24"/>
        </w:rPr>
        <w:t>21</w:t>
      </w:r>
      <w:r>
        <w:rPr>
          <w:rFonts w:hint="eastAsia"/>
          <w:sz w:val="24"/>
        </w:rPr>
        <w:t>（202</w:t>
      </w:r>
      <w:r>
        <w:rPr>
          <w:sz w:val="24"/>
        </w:rPr>
        <w:t>2</w:t>
      </w:r>
      <w:r>
        <w:rPr>
          <w:rFonts w:hint="eastAsia"/>
          <w:sz w:val="24"/>
        </w:rPr>
        <w:t>年</w:t>
      </w:r>
      <w:r>
        <w:rPr>
          <w:sz w:val="24"/>
        </w:rPr>
        <w:t>4</w:t>
      </w:r>
      <w:r>
        <w:rPr>
          <w:rFonts w:hint="eastAsia"/>
          <w:sz w:val="24"/>
        </w:rPr>
        <w:t>月1日起实施）</w:t>
      </w:r>
    </w:p>
    <w:p>
      <w:pPr>
        <w:pStyle w:val="5"/>
        <w:spacing w:line="360" w:lineRule="auto"/>
        <w:ind w:firstLine="480"/>
        <w:rPr>
          <w:sz w:val="24"/>
        </w:rPr>
      </w:pPr>
      <w:r>
        <w:rPr>
          <w:rFonts w:hint="eastAsia"/>
          <w:sz w:val="24"/>
        </w:rPr>
        <w:t>8</w:t>
      </w:r>
      <w:r>
        <w:rPr>
          <w:sz w:val="24"/>
        </w:rPr>
        <w:t>.</w:t>
      </w:r>
      <w:r>
        <w:rPr>
          <w:rFonts w:hint="eastAsia"/>
          <w:sz w:val="24"/>
        </w:rPr>
        <w:t>《建筑节能与可再生能源利用通用规范》G</w:t>
      </w:r>
      <w:r>
        <w:rPr>
          <w:sz w:val="24"/>
        </w:rPr>
        <w:t>B55015-2021</w:t>
      </w:r>
      <w:r>
        <w:rPr>
          <w:rFonts w:hint="eastAsia"/>
          <w:sz w:val="24"/>
        </w:rPr>
        <w:t>（202</w:t>
      </w:r>
      <w:r>
        <w:rPr>
          <w:sz w:val="24"/>
        </w:rPr>
        <w:t>2</w:t>
      </w:r>
      <w:r>
        <w:rPr>
          <w:rFonts w:hint="eastAsia"/>
          <w:sz w:val="24"/>
        </w:rPr>
        <w:t>年</w:t>
      </w:r>
      <w:r>
        <w:rPr>
          <w:sz w:val="24"/>
        </w:rPr>
        <w:t>4</w:t>
      </w:r>
      <w:r>
        <w:rPr>
          <w:rFonts w:hint="eastAsia"/>
          <w:sz w:val="24"/>
        </w:rPr>
        <w:t>月1日起实施）</w:t>
      </w:r>
    </w:p>
    <w:p>
      <w:pPr>
        <w:pStyle w:val="5"/>
        <w:spacing w:line="360" w:lineRule="auto"/>
        <w:ind w:firstLine="480"/>
        <w:rPr>
          <w:sz w:val="24"/>
        </w:rPr>
      </w:pPr>
      <w:r>
        <w:rPr>
          <w:rFonts w:hint="eastAsia"/>
          <w:sz w:val="24"/>
        </w:rPr>
        <w:t>9</w:t>
      </w:r>
      <w:r>
        <w:rPr>
          <w:sz w:val="24"/>
        </w:rPr>
        <w:t>.</w:t>
      </w:r>
      <w:r>
        <w:rPr>
          <w:rFonts w:hint="eastAsia"/>
          <w:sz w:val="24"/>
        </w:rPr>
        <w:t>《建筑给水排水与节水通用规范》GB55020-2021（202</w:t>
      </w:r>
      <w:r>
        <w:rPr>
          <w:sz w:val="24"/>
        </w:rPr>
        <w:t>2</w:t>
      </w:r>
      <w:r>
        <w:rPr>
          <w:rFonts w:hint="eastAsia"/>
          <w:sz w:val="24"/>
        </w:rPr>
        <w:t>年</w:t>
      </w:r>
      <w:r>
        <w:rPr>
          <w:sz w:val="24"/>
        </w:rPr>
        <w:t>4</w:t>
      </w:r>
      <w:r>
        <w:rPr>
          <w:rFonts w:hint="eastAsia"/>
          <w:sz w:val="24"/>
        </w:rPr>
        <w:t>月1日起实施）</w:t>
      </w:r>
    </w:p>
    <w:p>
      <w:pPr>
        <w:pStyle w:val="5"/>
        <w:spacing w:line="360" w:lineRule="auto"/>
        <w:ind w:firstLine="480"/>
        <w:rPr>
          <w:sz w:val="24"/>
        </w:rPr>
      </w:pPr>
      <w:r>
        <w:rPr>
          <w:rFonts w:hint="eastAsia"/>
          <w:sz w:val="24"/>
        </w:rPr>
        <w:t>1</w:t>
      </w:r>
      <w:r>
        <w:rPr>
          <w:sz w:val="24"/>
        </w:rPr>
        <w:t>0</w:t>
      </w:r>
      <w:r>
        <w:rPr>
          <w:rFonts w:hint="eastAsia"/>
          <w:sz w:val="24"/>
        </w:rPr>
        <w:t>．《砌体结构通用规范》GB55007-2021（2022年1月1日起实施）</w:t>
      </w:r>
    </w:p>
    <w:p>
      <w:pPr>
        <w:pStyle w:val="5"/>
        <w:spacing w:line="360" w:lineRule="auto"/>
        <w:ind w:firstLine="480"/>
        <w:rPr>
          <w:sz w:val="24"/>
        </w:rPr>
      </w:pPr>
      <w:r>
        <w:rPr>
          <w:rFonts w:hint="eastAsia"/>
          <w:sz w:val="24"/>
        </w:rPr>
        <w:t>11．《木结构通用规范》GB55005-2021（2022年1月1日起实施）</w:t>
      </w:r>
    </w:p>
    <w:p>
      <w:pPr>
        <w:pStyle w:val="5"/>
        <w:spacing w:line="360" w:lineRule="auto"/>
        <w:ind w:firstLine="480"/>
        <w:rPr>
          <w:sz w:val="24"/>
        </w:rPr>
      </w:pPr>
      <w:r>
        <w:rPr>
          <w:rFonts w:hint="eastAsia"/>
          <w:sz w:val="24"/>
        </w:rPr>
        <w:t>12．《建筑给水排水及采暖工程施工质量验收规范》G</w:t>
      </w:r>
      <w:r>
        <w:rPr>
          <w:sz w:val="24"/>
        </w:rPr>
        <w:t>B50242-2002</w:t>
      </w:r>
    </w:p>
    <w:p>
      <w:pPr>
        <w:pStyle w:val="5"/>
        <w:spacing w:line="360" w:lineRule="auto"/>
        <w:ind w:firstLine="480"/>
        <w:rPr>
          <w:sz w:val="24"/>
        </w:rPr>
      </w:pPr>
      <w:r>
        <w:rPr>
          <w:rFonts w:hint="eastAsia"/>
          <w:sz w:val="24"/>
        </w:rPr>
        <w:t>13．《建筑电气照明装置施工与验收规范》GB50617-2010</w:t>
      </w:r>
    </w:p>
    <w:p>
      <w:pPr>
        <w:pStyle w:val="5"/>
        <w:spacing w:line="360" w:lineRule="auto"/>
        <w:ind w:firstLine="480"/>
        <w:rPr>
          <w:sz w:val="24"/>
        </w:rPr>
      </w:pPr>
      <w:r>
        <w:rPr>
          <w:rFonts w:hint="eastAsia"/>
          <w:sz w:val="24"/>
        </w:rPr>
        <w:t>14．《建筑电气工程施工质量验收规范》GB50303-2015</w:t>
      </w:r>
    </w:p>
    <w:p>
      <w:pPr>
        <w:pStyle w:val="5"/>
        <w:spacing w:line="360" w:lineRule="auto"/>
        <w:ind w:firstLine="480"/>
        <w:rPr>
          <w:sz w:val="24"/>
        </w:rPr>
      </w:pPr>
      <w:r>
        <w:rPr>
          <w:rFonts w:hint="eastAsia"/>
          <w:sz w:val="24"/>
        </w:rPr>
        <w:t>1</w:t>
      </w:r>
      <w:r>
        <w:rPr>
          <w:sz w:val="24"/>
        </w:rPr>
        <w:t>5.</w:t>
      </w:r>
      <w:r>
        <w:rPr>
          <w:rFonts w:hint="eastAsia"/>
          <w:sz w:val="24"/>
        </w:rPr>
        <w:t>《通风与空调工程施工质量验收规范》G</w:t>
      </w:r>
      <w:r>
        <w:rPr>
          <w:sz w:val="24"/>
        </w:rPr>
        <w:t>B50243-2016</w:t>
      </w:r>
    </w:p>
    <w:p>
      <w:pPr>
        <w:pStyle w:val="5"/>
        <w:spacing w:line="360" w:lineRule="auto"/>
        <w:ind w:firstLine="480"/>
        <w:rPr>
          <w:sz w:val="24"/>
        </w:rPr>
      </w:pPr>
      <w:r>
        <w:rPr>
          <w:rFonts w:hint="eastAsia"/>
          <w:sz w:val="24"/>
        </w:rPr>
        <w:t>1</w:t>
      </w:r>
      <w:r>
        <w:rPr>
          <w:sz w:val="24"/>
        </w:rPr>
        <w:t>6.</w:t>
      </w:r>
      <w:r>
        <w:rPr>
          <w:rFonts w:hint="eastAsia"/>
          <w:sz w:val="24"/>
        </w:rPr>
        <w:t>《建筑防火封堵应用技术标准》GB/T51410—2020</w:t>
      </w:r>
    </w:p>
    <w:p>
      <w:pPr>
        <w:pStyle w:val="5"/>
        <w:spacing w:line="360" w:lineRule="auto"/>
        <w:ind w:firstLine="480"/>
        <w:rPr>
          <w:sz w:val="24"/>
        </w:rPr>
      </w:pPr>
      <w:r>
        <w:rPr>
          <w:rFonts w:hint="eastAsia"/>
          <w:sz w:val="24"/>
        </w:rPr>
        <w:t>1</w:t>
      </w:r>
      <w:r>
        <w:rPr>
          <w:sz w:val="24"/>
        </w:rPr>
        <w:t>7.</w:t>
      </w:r>
      <w:r>
        <w:rPr>
          <w:rFonts w:hint="eastAsia"/>
          <w:sz w:val="24"/>
        </w:rPr>
        <w:t>《建设工程文件归档规范》GB/T50328-</w:t>
      </w:r>
      <w:r>
        <w:rPr>
          <w:sz w:val="24"/>
        </w:rPr>
        <w:t>2014(</w:t>
      </w:r>
      <w:r>
        <w:rPr>
          <w:rFonts w:hint="eastAsia"/>
          <w:sz w:val="24"/>
        </w:rPr>
        <w:t>2</w:t>
      </w:r>
      <w:r>
        <w:rPr>
          <w:sz w:val="24"/>
        </w:rPr>
        <w:t>019</w:t>
      </w:r>
      <w:r>
        <w:rPr>
          <w:rFonts w:hint="eastAsia"/>
          <w:sz w:val="24"/>
        </w:rPr>
        <w:t>版)</w:t>
      </w:r>
    </w:p>
    <w:p>
      <w:pPr>
        <w:pStyle w:val="5"/>
        <w:spacing w:line="360" w:lineRule="auto"/>
        <w:ind w:firstLine="480"/>
        <w:rPr>
          <w:sz w:val="24"/>
        </w:rPr>
      </w:pPr>
      <w:r>
        <w:rPr>
          <w:rFonts w:hint="eastAsia"/>
          <w:sz w:val="24"/>
        </w:rPr>
        <w:t>1</w:t>
      </w:r>
      <w:r>
        <w:rPr>
          <w:sz w:val="24"/>
        </w:rPr>
        <w:t>8.</w:t>
      </w:r>
      <w:r>
        <w:rPr>
          <w:rFonts w:hint="eastAsia"/>
          <w:sz w:val="24"/>
        </w:rPr>
        <w:t>《网络工程验收标准》GB/T51365-2019</w:t>
      </w:r>
    </w:p>
    <w:p>
      <w:pPr>
        <w:pStyle w:val="5"/>
        <w:spacing w:line="360" w:lineRule="auto"/>
        <w:ind w:firstLine="480"/>
        <w:rPr>
          <w:sz w:val="24"/>
        </w:rPr>
      </w:pPr>
      <w:r>
        <w:rPr>
          <w:rFonts w:hint="eastAsia"/>
          <w:sz w:val="24"/>
        </w:rPr>
        <w:t>1</w:t>
      </w:r>
      <w:r>
        <w:rPr>
          <w:sz w:val="24"/>
        </w:rPr>
        <w:t>9.</w:t>
      </w:r>
      <w:r>
        <w:rPr>
          <w:rFonts w:hint="eastAsia"/>
          <w:sz w:val="24"/>
        </w:rPr>
        <w:t>《公共建筑吊顶工程技术规程》JGJ345-2014</w:t>
      </w:r>
    </w:p>
    <w:p>
      <w:pPr>
        <w:pStyle w:val="5"/>
        <w:spacing w:line="360" w:lineRule="auto"/>
        <w:ind w:firstLine="480"/>
        <w:rPr>
          <w:sz w:val="24"/>
        </w:rPr>
      </w:pPr>
      <w:r>
        <w:rPr>
          <w:rFonts w:hint="eastAsia"/>
          <w:sz w:val="24"/>
        </w:rPr>
        <w:t>2</w:t>
      </w:r>
      <w:r>
        <w:rPr>
          <w:sz w:val="24"/>
        </w:rPr>
        <w:t>0.</w:t>
      </w:r>
      <w:r>
        <w:rPr>
          <w:rFonts w:hint="eastAsia"/>
          <w:sz w:val="24"/>
        </w:rPr>
        <w:t>《建筑玻璃应用技术规程》JGJ113-2015</w:t>
      </w:r>
    </w:p>
    <w:p>
      <w:pPr>
        <w:pStyle w:val="5"/>
        <w:spacing w:line="360" w:lineRule="auto"/>
        <w:ind w:firstLine="480"/>
        <w:rPr>
          <w:sz w:val="24"/>
        </w:rPr>
      </w:pPr>
      <w:r>
        <w:rPr>
          <w:rFonts w:hint="eastAsia"/>
          <w:sz w:val="24"/>
        </w:rPr>
        <w:t>21．《金属与石材幕墙工程技术规范》JGJ133-2001</w:t>
      </w:r>
    </w:p>
    <w:p>
      <w:pPr>
        <w:pStyle w:val="5"/>
        <w:spacing w:line="360" w:lineRule="auto"/>
        <w:ind w:firstLine="480"/>
        <w:rPr>
          <w:sz w:val="24"/>
        </w:rPr>
      </w:pPr>
      <w:r>
        <w:rPr>
          <w:rFonts w:hint="eastAsia"/>
          <w:sz w:val="24"/>
        </w:rPr>
        <w:t>22．《玻璃幕墙工程技术规范》JGJ</w:t>
      </w:r>
      <w:r>
        <w:rPr>
          <w:sz w:val="24"/>
        </w:rPr>
        <w:t>102</w:t>
      </w:r>
      <w:r>
        <w:rPr>
          <w:rFonts w:hint="eastAsia"/>
          <w:sz w:val="24"/>
        </w:rPr>
        <w:t>-20</w:t>
      </w:r>
      <w:r>
        <w:rPr>
          <w:sz w:val="24"/>
        </w:rPr>
        <w:t>03</w:t>
      </w:r>
    </w:p>
    <w:p>
      <w:pPr>
        <w:pStyle w:val="5"/>
        <w:spacing w:line="360" w:lineRule="auto"/>
        <w:ind w:firstLine="480"/>
        <w:rPr>
          <w:sz w:val="24"/>
        </w:rPr>
      </w:pPr>
      <w:r>
        <w:rPr>
          <w:rFonts w:hint="eastAsia"/>
          <w:sz w:val="24"/>
        </w:rPr>
        <w:t>23．《采光顶与金属屋面技术规程》JGJ</w:t>
      </w:r>
      <w:r>
        <w:rPr>
          <w:sz w:val="24"/>
        </w:rPr>
        <w:t>255</w:t>
      </w:r>
      <w:r>
        <w:rPr>
          <w:rFonts w:hint="eastAsia"/>
          <w:sz w:val="24"/>
        </w:rPr>
        <w:t>-</w:t>
      </w:r>
      <w:r>
        <w:rPr>
          <w:sz w:val="24"/>
        </w:rPr>
        <w:t>2012</w:t>
      </w:r>
    </w:p>
    <w:p>
      <w:pPr>
        <w:pStyle w:val="5"/>
        <w:spacing w:line="360" w:lineRule="auto"/>
        <w:ind w:firstLine="480"/>
        <w:rPr>
          <w:sz w:val="24"/>
        </w:rPr>
      </w:pPr>
      <w:r>
        <w:rPr>
          <w:rFonts w:hint="eastAsia"/>
          <w:sz w:val="24"/>
        </w:rPr>
        <w:t>24．</w:t>
      </w:r>
      <w:r>
        <w:rPr>
          <w:sz w:val="24"/>
        </w:rPr>
        <w:t>《混凝土结构后锚固技术规程》JGJ145-2013</w:t>
      </w:r>
    </w:p>
    <w:p>
      <w:pPr>
        <w:pStyle w:val="5"/>
        <w:spacing w:line="360" w:lineRule="auto"/>
        <w:ind w:firstLine="480"/>
        <w:rPr>
          <w:sz w:val="24"/>
        </w:rPr>
      </w:pPr>
      <w:r>
        <w:rPr>
          <w:rFonts w:hint="eastAsia"/>
          <w:sz w:val="24"/>
        </w:rPr>
        <w:t>25．《装配式内装修技术标准》JGJ/T491-2021（2021年10月1日起实施）</w:t>
      </w:r>
    </w:p>
    <w:p>
      <w:pPr>
        <w:pStyle w:val="5"/>
        <w:spacing w:line="360" w:lineRule="auto"/>
        <w:ind w:firstLine="480"/>
        <w:rPr>
          <w:sz w:val="24"/>
        </w:rPr>
      </w:pPr>
      <w:r>
        <w:rPr>
          <w:rFonts w:hint="eastAsia"/>
          <w:sz w:val="24"/>
        </w:rPr>
        <w:t>2</w:t>
      </w:r>
      <w:r>
        <w:rPr>
          <w:sz w:val="24"/>
        </w:rPr>
        <w:t>6.</w:t>
      </w:r>
      <w:r>
        <w:rPr>
          <w:rFonts w:hint="eastAsia"/>
          <w:sz w:val="24"/>
        </w:rPr>
        <w:t>《民用建筑设计统一标准》GB50352-2019</w:t>
      </w:r>
    </w:p>
    <w:p>
      <w:pPr>
        <w:pStyle w:val="5"/>
        <w:spacing w:line="360" w:lineRule="auto"/>
        <w:ind w:firstLine="480"/>
        <w:rPr>
          <w:sz w:val="24"/>
        </w:rPr>
      </w:pPr>
      <w:r>
        <w:rPr>
          <w:rFonts w:hint="eastAsia"/>
          <w:sz w:val="24"/>
        </w:rPr>
        <w:t>27．《建筑内部装修设计防火规范》GB50222-</w:t>
      </w:r>
      <w:r>
        <w:rPr>
          <w:sz w:val="24"/>
        </w:rPr>
        <w:t>201</w:t>
      </w:r>
      <w:r>
        <w:rPr>
          <w:rFonts w:hint="eastAsia"/>
          <w:sz w:val="24"/>
        </w:rPr>
        <w:t>7</w:t>
      </w:r>
    </w:p>
    <w:p>
      <w:pPr>
        <w:pStyle w:val="5"/>
        <w:spacing w:line="360" w:lineRule="auto"/>
        <w:ind w:firstLine="480"/>
        <w:rPr>
          <w:sz w:val="24"/>
        </w:rPr>
      </w:pPr>
      <w:r>
        <w:rPr>
          <w:rFonts w:hint="eastAsia"/>
          <w:sz w:val="24"/>
        </w:rPr>
        <w:t>28．</w:t>
      </w:r>
      <w:r>
        <w:rPr>
          <w:sz w:val="24"/>
        </w:rPr>
        <w:t>《</w:t>
      </w:r>
      <w:r>
        <w:rPr>
          <w:rFonts w:hint="eastAsia"/>
          <w:sz w:val="24"/>
        </w:rPr>
        <w:t>建筑</w:t>
      </w:r>
      <w:r>
        <w:rPr>
          <w:sz w:val="24"/>
        </w:rPr>
        <w:t>设计防火规范》</w:t>
      </w:r>
      <w:r>
        <w:rPr>
          <w:rFonts w:hint="eastAsia"/>
          <w:sz w:val="24"/>
        </w:rPr>
        <w:t>GB50</w:t>
      </w:r>
      <w:r>
        <w:rPr>
          <w:sz w:val="24"/>
        </w:rPr>
        <w:t>016</w:t>
      </w:r>
      <w:r>
        <w:rPr>
          <w:rFonts w:hint="eastAsia"/>
          <w:sz w:val="24"/>
        </w:rPr>
        <w:t>-201</w:t>
      </w:r>
      <w:r>
        <w:rPr>
          <w:sz w:val="24"/>
        </w:rPr>
        <w:t>4</w:t>
      </w:r>
      <w:r>
        <w:rPr>
          <w:rFonts w:hint="eastAsia"/>
          <w:sz w:val="24"/>
        </w:rPr>
        <w:t>（2018年</w:t>
      </w:r>
      <w:r>
        <w:rPr>
          <w:sz w:val="24"/>
        </w:rPr>
        <w:t>版</w:t>
      </w:r>
      <w:r>
        <w:rPr>
          <w:rFonts w:hint="eastAsia"/>
          <w:sz w:val="24"/>
        </w:rPr>
        <w:t>）</w:t>
      </w:r>
    </w:p>
    <w:p>
      <w:pPr>
        <w:pStyle w:val="5"/>
        <w:spacing w:line="360" w:lineRule="auto"/>
        <w:ind w:firstLine="480"/>
        <w:rPr>
          <w:sz w:val="24"/>
        </w:rPr>
      </w:pPr>
      <w:r>
        <w:rPr>
          <w:rFonts w:hint="eastAsia"/>
          <w:sz w:val="24"/>
        </w:rPr>
        <w:t>2</w:t>
      </w:r>
      <w:r>
        <w:rPr>
          <w:sz w:val="24"/>
        </w:rPr>
        <w:t>9.</w:t>
      </w:r>
      <w:r>
        <w:rPr>
          <w:rFonts w:hint="eastAsia"/>
          <w:sz w:val="24"/>
        </w:rPr>
        <w:t>《公共建筑室内空气质量控制设计标准》JGJ/T461-2019</w:t>
      </w:r>
    </w:p>
    <w:p>
      <w:pPr>
        <w:pStyle w:val="5"/>
        <w:spacing w:line="360" w:lineRule="auto"/>
        <w:ind w:firstLine="480"/>
        <w:rPr>
          <w:sz w:val="24"/>
        </w:rPr>
      </w:pPr>
      <w:r>
        <w:rPr>
          <w:rFonts w:hint="eastAsia"/>
          <w:sz w:val="24"/>
        </w:rPr>
        <w:t>3</w:t>
      </w:r>
      <w:r>
        <w:rPr>
          <w:sz w:val="24"/>
        </w:rPr>
        <w:t>0.</w:t>
      </w:r>
      <w:r>
        <w:rPr>
          <w:rFonts w:hint="eastAsia"/>
          <w:sz w:val="24"/>
        </w:rPr>
        <w:t>《民用建筑隔声设计规范》GB50118-2010</w:t>
      </w:r>
    </w:p>
    <w:p>
      <w:pPr>
        <w:pStyle w:val="5"/>
        <w:spacing w:line="360" w:lineRule="auto"/>
        <w:ind w:firstLine="480"/>
        <w:rPr>
          <w:sz w:val="24"/>
        </w:rPr>
      </w:pPr>
      <w:r>
        <w:rPr>
          <w:rFonts w:hint="eastAsia"/>
          <w:sz w:val="24"/>
        </w:rPr>
        <w:t>31．《无障碍设计规范》GB50763-2012</w:t>
      </w:r>
    </w:p>
    <w:p>
      <w:pPr>
        <w:pStyle w:val="5"/>
        <w:spacing w:line="360" w:lineRule="auto"/>
        <w:ind w:firstLine="480"/>
        <w:rPr>
          <w:sz w:val="24"/>
        </w:rPr>
      </w:pPr>
      <w:r>
        <w:rPr>
          <w:rFonts w:hint="eastAsia"/>
          <w:sz w:val="24"/>
        </w:rPr>
        <w:t>3</w:t>
      </w:r>
      <w:r>
        <w:rPr>
          <w:sz w:val="24"/>
        </w:rPr>
        <w:t>2.</w:t>
      </w:r>
      <w:r>
        <w:rPr>
          <w:rFonts w:hint="eastAsia"/>
          <w:sz w:val="24"/>
        </w:rPr>
        <w:t>《建筑照明设计标准》GB50034-2013</w:t>
      </w:r>
    </w:p>
    <w:p>
      <w:pPr>
        <w:pStyle w:val="5"/>
        <w:spacing w:line="360" w:lineRule="auto"/>
        <w:ind w:firstLine="480"/>
        <w:rPr>
          <w:sz w:val="24"/>
        </w:rPr>
      </w:pPr>
      <w:r>
        <w:rPr>
          <w:rFonts w:hint="eastAsia"/>
          <w:sz w:val="24"/>
        </w:rPr>
        <w:t>33．《数据中心设计规范》</w:t>
      </w:r>
      <w:r>
        <w:rPr>
          <w:sz w:val="24"/>
        </w:rPr>
        <w:t>GB50174-20</w:t>
      </w:r>
      <w:r>
        <w:rPr>
          <w:rFonts w:hint="eastAsia"/>
          <w:sz w:val="24"/>
        </w:rPr>
        <w:t>17</w:t>
      </w:r>
    </w:p>
    <w:p>
      <w:pPr>
        <w:pStyle w:val="5"/>
        <w:spacing w:line="360" w:lineRule="auto"/>
        <w:ind w:firstLine="480"/>
        <w:rPr>
          <w:sz w:val="24"/>
        </w:rPr>
      </w:pPr>
      <w:r>
        <w:rPr>
          <w:rFonts w:hint="eastAsia"/>
          <w:sz w:val="24"/>
        </w:rPr>
        <w:t>34．《民用建筑电气设计标准》GB51348-2019</w:t>
      </w:r>
    </w:p>
    <w:p>
      <w:pPr>
        <w:pStyle w:val="5"/>
        <w:spacing w:line="360" w:lineRule="auto"/>
        <w:ind w:firstLine="480"/>
        <w:rPr>
          <w:sz w:val="24"/>
        </w:rPr>
      </w:pPr>
      <w:r>
        <w:rPr>
          <w:rFonts w:hint="eastAsia"/>
          <w:sz w:val="24"/>
        </w:rPr>
        <w:t>35．《建筑给水排水设计标准》G</w:t>
      </w:r>
      <w:r>
        <w:rPr>
          <w:sz w:val="24"/>
        </w:rPr>
        <w:t>B50015-2019</w:t>
      </w:r>
    </w:p>
    <w:p>
      <w:pPr>
        <w:pStyle w:val="5"/>
        <w:spacing w:line="360" w:lineRule="auto"/>
        <w:ind w:firstLine="480"/>
        <w:rPr>
          <w:sz w:val="24"/>
        </w:rPr>
      </w:pPr>
      <w:r>
        <w:rPr>
          <w:rFonts w:hint="eastAsia"/>
          <w:sz w:val="24"/>
        </w:rPr>
        <w:t>36．《文化馆建筑设计规范》J</w:t>
      </w:r>
      <w:r>
        <w:rPr>
          <w:sz w:val="24"/>
        </w:rPr>
        <w:t>GJ</w:t>
      </w:r>
      <w:r>
        <w:rPr>
          <w:rFonts w:hint="eastAsia"/>
          <w:sz w:val="24"/>
        </w:rPr>
        <w:t>/</w:t>
      </w:r>
      <w:r>
        <w:rPr>
          <w:sz w:val="24"/>
        </w:rPr>
        <w:t>T41-2014</w:t>
      </w:r>
    </w:p>
    <w:p>
      <w:pPr>
        <w:pStyle w:val="5"/>
        <w:spacing w:line="360" w:lineRule="auto"/>
        <w:ind w:firstLine="480"/>
        <w:rPr>
          <w:sz w:val="24"/>
        </w:rPr>
      </w:pPr>
      <w:r>
        <w:rPr>
          <w:rFonts w:hint="eastAsia"/>
          <w:sz w:val="24"/>
        </w:rPr>
        <w:t>37．《博物馆建筑设计规范》</w:t>
      </w:r>
      <w:r>
        <w:rPr>
          <w:sz w:val="24"/>
        </w:rPr>
        <w:t>JGJ66-2015</w:t>
      </w:r>
    </w:p>
    <w:p>
      <w:pPr>
        <w:pStyle w:val="5"/>
        <w:spacing w:line="360" w:lineRule="auto"/>
        <w:ind w:firstLine="480"/>
        <w:rPr>
          <w:sz w:val="24"/>
        </w:rPr>
      </w:pPr>
      <w:r>
        <w:rPr>
          <w:rFonts w:hint="eastAsia"/>
          <w:sz w:val="24"/>
        </w:rPr>
        <w:t>38．</w:t>
      </w:r>
      <w:r>
        <w:rPr>
          <w:sz w:val="24"/>
        </w:rPr>
        <w:t>《饮食建筑设计</w:t>
      </w:r>
      <w:r>
        <w:rPr>
          <w:rFonts w:hint="eastAsia"/>
          <w:sz w:val="24"/>
        </w:rPr>
        <w:t>标准</w:t>
      </w:r>
      <w:r>
        <w:rPr>
          <w:sz w:val="24"/>
        </w:rPr>
        <w:t>》JGJ64-2017</w:t>
      </w:r>
    </w:p>
    <w:p>
      <w:pPr>
        <w:pStyle w:val="5"/>
        <w:spacing w:line="360" w:lineRule="auto"/>
        <w:ind w:firstLine="480"/>
        <w:rPr>
          <w:rFonts w:hint="eastAsia"/>
          <w:sz w:val="24"/>
        </w:rPr>
      </w:pPr>
      <w:r>
        <w:rPr>
          <w:rFonts w:hint="eastAsia"/>
          <w:sz w:val="24"/>
        </w:rPr>
        <w:t>3</w:t>
      </w:r>
      <w:r>
        <w:rPr>
          <w:sz w:val="24"/>
        </w:rPr>
        <w:t>9.</w:t>
      </w:r>
      <w:r>
        <w:rPr>
          <w:rFonts w:hint="eastAsia"/>
          <w:sz w:val="24"/>
        </w:rPr>
        <w:t>《建筑门窗工程检测技术规程》J</w:t>
      </w:r>
      <w:r>
        <w:rPr>
          <w:sz w:val="24"/>
        </w:rPr>
        <w:t>GJ/T</w:t>
      </w:r>
      <w:r>
        <w:rPr>
          <w:rFonts w:hint="eastAsia"/>
          <w:sz w:val="24"/>
        </w:rPr>
        <w:t>205-2010</w:t>
      </w:r>
    </w:p>
    <w:p>
      <w:pPr>
        <w:pStyle w:val="5"/>
        <w:spacing w:line="360" w:lineRule="auto"/>
        <w:ind w:firstLine="480"/>
        <w:rPr>
          <w:sz w:val="24"/>
        </w:rPr>
      </w:pPr>
      <w:r>
        <w:rPr>
          <w:rFonts w:hint="eastAsia"/>
          <w:sz w:val="24"/>
        </w:rPr>
        <w:t>40．《古建筑修建工程施工及验收规范》</w:t>
      </w:r>
      <w:r>
        <w:rPr>
          <w:sz w:val="24"/>
        </w:rPr>
        <w:t>JGJ159-2008</w:t>
      </w:r>
    </w:p>
    <w:p>
      <w:pPr>
        <w:pStyle w:val="5"/>
        <w:spacing w:line="360" w:lineRule="auto"/>
        <w:ind w:firstLine="480"/>
        <w:rPr>
          <w:sz w:val="24"/>
        </w:rPr>
      </w:pPr>
      <w:r>
        <w:rPr>
          <w:rFonts w:hint="eastAsia"/>
          <w:sz w:val="24"/>
        </w:rPr>
        <w:t>41．《历史建筑数字化技术标准》JGJ/T489-2021（2021年10月1日起实施）</w:t>
      </w:r>
    </w:p>
    <w:p>
      <w:pPr>
        <w:pStyle w:val="5"/>
        <w:spacing w:line="360" w:lineRule="auto"/>
        <w:ind w:firstLine="480"/>
        <w:outlineLvl w:val="2"/>
        <w:rPr>
          <w:sz w:val="24"/>
        </w:rPr>
      </w:pPr>
      <w:bookmarkStart w:id="4" w:name="_Toc26743"/>
      <w:r>
        <w:rPr>
          <w:rFonts w:hint="eastAsia"/>
          <w:sz w:val="24"/>
        </w:rPr>
        <w:t>42．《建筑防护栏杆技术标准》</w:t>
      </w:r>
      <w:r>
        <w:rPr>
          <w:sz w:val="24"/>
        </w:rPr>
        <w:t>JGJ/T470-2019</w:t>
      </w:r>
      <w:bookmarkEnd w:id="4"/>
    </w:p>
    <w:p>
      <w:pPr>
        <w:pStyle w:val="5"/>
        <w:spacing w:line="360" w:lineRule="auto"/>
        <w:ind w:firstLine="480"/>
        <w:rPr>
          <w:sz w:val="24"/>
        </w:rPr>
      </w:pPr>
      <w:r>
        <w:rPr>
          <w:rFonts w:hint="eastAsia"/>
          <w:sz w:val="24"/>
        </w:rPr>
        <w:t>43．《装配式整体厨房应用技术标准》JGJ/T477-2018</w:t>
      </w:r>
    </w:p>
    <w:p>
      <w:pPr>
        <w:pStyle w:val="5"/>
        <w:spacing w:line="360" w:lineRule="auto"/>
        <w:ind w:firstLine="480"/>
        <w:rPr>
          <w:sz w:val="24"/>
        </w:rPr>
      </w:pPr>
      <w:r>
        <w:rPr>
          <w:rFonts w:hint="eastAsia"/>
          <w:sz w:val="24"/>
        </w:rPr>
        <w:t>44．《装配式整体卫生间应用技术标准》J</w:t>
      </w:r>
      <w:r>
        <w:rPr>
          <w:sz w:val="24"/>
        </w:rPr>
        <w:t>GJ</w:t>
      </w:r>
      <w:r>
        <w:rPr>
          <w:rFonts w:hint="eastAsia"/>
          <w:sz w:val="24"/>
        </w:rPr>
        <w:t>/</w:t>
      </w:r>
      <w:r>
        <w:rPr>
          <w:sz w:val="24"/>
        </w:rPr>
        <w:t>T467-2018</w:t>
      </w:r>
    </w:p>
    <w:p>
      <w:pPr>
        <w:pStyle w:val="5"/>
        <w:spacing w:line="360" w:lineRule="auto"/>
        <w:ind w:firstLine="480"/>
        <w:rPr>
          <w:rFonts w:hint="eastAsia"/>
          <w:sz w:val="24"/>
        </w:rPr>
      </w:pPr>
      <w:r>
        <w:rPr>
          <w:rFonts w:hint="eastAsia"/>
          <w:sz w:val="24"/>
        </w:rPr>
        <w:t>45．《预拌砂浆应用技术规程》JGJ/T</w:t>
      </w:r>
      <w:r>
        <w:rPr>
          <w:sz w:val="24"/>
        </w:rPr>
        <w:t>223</w:t>
      </w:r>
      <w:r>
        <w:rPr>
          <w:rFonts w:hint="eastAsia"/>
          <w:sz w:val="24"/>
        </w:rPr>
        <w:t>-20</w:t>
      </w:r>
      <w:r>
        <w:rPr>
          <w:sz w:val="24"/>
        </w:rPr>
        <w:t>10</w:t>
      </w:r>
    </w:p>
    <w:p>
      <w:pPr>
        <w:pStyle w:val="5"/>
        <w:spacing w:line="360" w:lineRule="auto"/>
        <w:ind w:firstLine="480"/>
        <w:rPr>
          <w:sz w:val="24"/>
        </w:rPr>
      </w:pPr>
      <w:r>
        <w:rPr>
          <w:rFonts w:hint="eastAsia"/>
          <w:sz w:val="24"/>
        </w:rPr>
        <w:t>46．《饰面石材用胶粘剂》GB</w:t>
      </w:r>
      <w:r>
        <w:rPr>
          <w:sz w:val="24"/>
        </w:rPr>
        <w:t>/T</w:t>
      </w:r>
      <w:r>
        <w:rPr>
          <w:rFonts w:hint="eastAsia"/>
          <w:sz w:val="24"/>
        </w:rPr>
        <w:t>24264-2009</w:t>
      </w:r>
    </w:p>
    <w:p>
      <w:pPr>
        <w:pStyle w:val="5"/>
        <w:spacing w:line="360" w:lineRule="auto"/>
        <w:ind w:firstLine="480"/>
        <w:rPr>
          <w:sz w:val="24"/>
        </w:rPr>
      </w:pPr>
      <w:r>
        <w:rPr>
          <w:rFonts w:hint="eastAsia"/>
          <w:sz w:val="24"/>
        </w:rPr>
        <w:t>47．《干挂石材用金属挂件》GB/T</w:t>
      </w:r>
      <w:r>
        <w:rPr>
          <w:sz w:val="24"/>
        </w:rPr>
        <w:t>32839</w:t>
      </w:r>
      <w:r>
        <w:rPr>
          <w:rFonts w:hint="eastAsia"/>
          <w:sz w:val="24"/>
        </w:rPr>
        <w:t>-20</w:t>
      </w:r>
      <w:r>
        <w:rPr>
          <w:sz w:val="24"/>
        </w:rPr>
        <w:t>16</w:t>
      </w:r>
    </w:p>
    <w:p>
      <w:pPr>
        <w:pStyle w:val="5"/>
        <w:spacing w:line="360" w:lineRule="auto"/>
        <w:ind w:firstLine="480"/>
        <w:rPr>
          <w:sz w:val="24"/>
        </w:rPr>
      </w:pPr>
      <w:r>
        <w:rPr>
          <w:rFonts w:hint="eastAsia"/>
          <w:sz w:val="24"/>
        </w:rPr>
        <w:t>4</w:t>
      </w:r>
      <w:r>
        <w:rPr>
          <w:sz w:val="24"/>
        </w:rPr>
        <w:t>8.</w:t>
      </w:r>
      <w:r>
        <w:rPr>
          <w:rFonts w:hint="eastAsia"/>
          <w:sz w:val="24"/>
        </w:rPr>
        <w:t>《消火栓箱</w:t>
      </w:r>
      <w:r>
        <w:rPr>
          <w:sz w:val="24"/>
        </w:rPr>
        <w:t>》</w:t>
      </w:r>
      <w:r>
        <w:rPr>
          <w:rFonts w:hint="eastAsia"/>
          <w:sz w:val="24"/>
        </w:rPr>
        <w:t>GB/T</w:t>
      </w:r>
      <w:r>
        <w:rPr>
          <w:sz w:val="24"/>
        </w:rPr>
        <w:t>14561</w:t>
      </w:r>
      <w:r>
        <w:rPr>
          <w:rFonts w:hint="eastAsia"/>
          <w:sz w:val="24"/>
        </w:rPr>
        <w:t>-2019</w:t>
      </w:r>
    </w:p>
    <w:p>
      <w:pPr>
        <w:pStyle w:val="5"/>
        <w:spacing w:line="360" w:lineRule="auto"/>
        <w:ind w:firstLine="480"/>
        <w:rPr>
          <w:sz w:val="24"/>
        </w:rPr>
      </w:pPr>
      <w:r>
        <w:rPr>
          <w:rFonts w:hint="eastAsia"/>
          <w:sz w:val="24"/>
        </w:rPr>
        <w:t>49．《展览陈列工程技术规程》T/CBDA40-2020</w:t>
      </w:r>
    </w:p>
    <w:p>
      <w:pPr>
        <w:pStyle w:val="5"/>
        <w:spacing w:line="360" w:lineRule="auto"/>
        <w:ind w:firstLine="480"/>
        <w:rPr>
          <w:sz w:val="24"/>
        </w:rPr>
      </w:pPr>
      <w:r>
        <w:rPr>
          <w:rFonts w:hint="eastAsia"/>
          <w:sz w:val="24"/>
        </w:rPr>
        <w:t>50．《建筑装饰装修工程BIM实施标准》T/CBDA3-2016</w:t>
      </w:r>
    </w:p>
    <w:p>
      <w:pPr>
        <w:pStyle w:val="5"/>
        <w:spacing w:line="360" w:lineRule="auto"/>
        <w:ind w:firstLine="480"/>
        <w:outlineLvl w:val="2"/>
        <w:rPr>
          <w:sz w:val="24"/>
        </w:rPr>
      </w:pPr>
      <w:bookmarkStart w:id="5" w:name="_Toc984"/>
      <w:r>
        <w:rPr>
          <w:rFonts w:hint="eastAsia"/>
          <w:sz w:val="24"/>
        </w:rPr>
        <w:t>5</w:t>
      </w:r>
      <w:r>
        <w:rPr>
          <w:sz w:val="24"/>
        </w:rPr>
        <w:t>1.</w:t>
      </w:r>
      <w:r>
        <w:rPr>
          <w:rFonts w:hint="eastAsia"/>
          <w:sz w:val="24"/>
        </w:rPr>
        <w:t>《建筑装饰装修工程木质部品》T/CBDA4-2016</w:t>
      </w:r>
      <w:bookmarkEnd w:id="5"/>
    </w:p>
    <w:p>
      <w:pPr>
        <w:pStyle w:val="5"/>
        <w:spacing w:line="360" w:lineRule="auto"/>
        <w:ind w:firstLine="480"/>
        <w:rPr>
          <w:sz w:val="24"/>
        </w:rPr>
      </w:pPr>
      <w:r>
        <w:rPr>
          <w:rFonts w:hint="eastAsia"/>
          <w:sz w:val="24"/>
        </w:rPr>
        <w:t>5</w:t>
      </w:r>
      <w:r>
        <w:rPr>
          <w:sz w:val="24"/>
        </w:rPr>
        <w:t>2.</w:t>
      </w:r>
      <w:r>
        <w:rPr>
          <w:rFonts w:hint="eastAsia"/>
          <w:sz w:val="24"/>
        </w:rPr>
        <w:t>《室内装饰装修乳胶漆施工技术规程》T/CBDA22-2018</w:t>
      </w:r>
    </w:p>
    <w:p>
      <w:pPr>
        <w:pStyle w:val="5"/>
        <w:spacing w:line="360" w:lineRule="auto"/>
        <w:ind w:firstLine="480"/>
        <w:rPr>
          <w:sz w:val="24"/>
        </w:rPr>
      </w:pPr>
      <w:r>
        <w:rPr>
          <w:rFonts w:hint="eastAsia"/>
          <w:sz w:val="24"/>
        </w:rPr>
        <w:t>53．《</w:t>
      </w:r>
      <w:r>
        <w:rPr>
          <w:sz w:val="24"/>
        </w:rPr>
        <w:fldChar w:fldCharType="begin"/>
      </w:r>
      <w:r>
        <w:rPr>
          <w:sz w:val="24"/>
        </w:rPr>
        <w:instrText xml:space="preserve"> HYPERLINK "http://www.cbda.cn/html/cbdacb/20181030/123809.html" </w:instrText>
      </w:r>
      <w:r>
        <w:rPr>
          <w:sz w:val="24"/>
        </w:rPr>
        <w:fldChar w:fldCharType="separate"/>
      </w:r>
      <w:r>
        <w:rPr>
          <w:rFonts w:hint="eastAsia"/>
          <w:sz w:val="24"/>
        </w:rPr>
        <w:t>建筑装饰装修室内吊顶支撑系统技术规程</w:t>
      </w:r>
      <w:r>
        <w:rPr>
          <w:rFonts w:hint="eastAsia"/>
          <w:sz w:val="24"/>
        </w:rPr>
        <w:fldChar w:fldCharType="end"/>
      </w:r>
      <w:r>
        <w:rPr>
          <w:rFonts w:hint="eastAsia"/>
          <w:sz w:val="24"/>
        </w:rPr>
        <w:t>》T</w:t>
      </w:r>
      <w:r>
        <w:rPr>
          <w:sz w:val="24"/>
        </w:rPr>
        <w:t>/</w:t>
      </w:r>
      <w:r>
        <w:rPr>
          <w:rFonts w:hint="eastAsia"/>
          <w:sz w:val="24"/>
        </w:rPr>
        <w:t>CBDA18-2018</w:t>
      </w:r>
    </w:p>
    <w:p>
      <w:pPr>
        <w:pStyle w:val="5"/>
        <w:spacing w:line="360" w:lineRule="auto"/>
        <w:ind w:firstLine="480"/>
        <w:rPr>
          <w:sz w:val="24"/>
        </w:rPr>
      </w:pPr>
      <w:r>
        <w:rPr>
          <w:rFonts w:hint="eastAsia"/>
          <w:sz w:val="24"/>
        </w:rPr>
        <w:t>54．《建筑装饰装修机电末端综合布置技术规程》T</w:t>
      </w:r>
      <w:r>
        <w:rPr>
          <w:sz w:val="24"/>
        </w:rPr>
        <w:t>/CBDA27-2019</w:t>
      </w:r>
    </w:p>
    <w:p>
      <w:pPr>
        <w:pStyle w:val="5"/>
        <w:spacing w:line="360" w:lineRule="auto"/>
        <w:ind w:firstLine="480"/>
        <w:rPr>
          <w:sz w:val="24"/>
        </w:rPr>
      </w:pPr>
      <w:r>
        <w:rPr>
          <w:rFonts w:hint="eastAsia"/>
          <w:sz w:val="24"/>
        </w:rPr>
        <w:t>5</w:t>
      </w:r>
      <w:r>
        <w:rPr>
          <w:sz w:val="24"/>
        </w:rPr>
        <w:t>5.</w:t>
      </w:r>
      <w:r>
        <w:rPr>
          <w:rFonts w:hint="eastAsia"/>
          <w:sz w:val="24"/>
        </w:rPr>
        <w:t>《建筑室内安全玻璃工程技术规程》</w:t>
      </w:r>
      <w:r>
        <w:rPr>
          <w:sz w:val="24"/>
        </w:rPr>
        <w:t>T/CBDA28-2019</w:t>
      </w:r>
    </w:p>
    <w:p>
      <w:pPr>
        <w:pStyle w:val="5"/>
        <w:spacing w:line="360" w:lineRule="auto"/>
        <w:ind w:firstLine="480"/>
        <w:rPr>
          <w:sz w:val="24"/>
        </w:rPr>
      </w:pPr>
      <w:r>
        <w:rPr>
          <w:rFonts w:hint="eastAsia"/>
          <w:sz w:val="24"/>
        </w:rPr>
        <w:t>56．《建筑装饰装修工程施工组织设计标准》T</w:t>
      </w:r>
      <w:r>
        <w:rPr>
          <w:sz w:val="24"/>
        </w:rPr>
        <w:t>/</w:t>
      </w:r>
      <w:r>
        <w:rPr>
          <w:rFonts w:hint="eastAsia"/>
          <w:sz w:val="24"/>
        </w:rPr>
        <w:t>CBDA35-2019</w:t>
      </w:r>
    </w:p>
    <w:p>
      <w:pPr>
        <w:pStyle w:val="5"/>
        <w:spacing w:line="360" w:lineRule="auto"/>
        <w:ind w:firstLine="480"/>
        <w:rPr>
          <w:sz w:val="24"/>
        </w:rPr>
      </w:pPr>
      <w:r>
        <w:rPr>
          <w:rFonts w:hint="eastAsia"/>
          <w:sz w:val="24"/>
        </w:rPr>
        <w:t>57．《建</w:t>
      </w:r>
      <w:r>
        <w:rPr>
          <w:sz w:val="24"/>
        </w:rPr>
        <w:fldChar w:fldCharType="begin"/>
      </w:r>
      <w:r>
        <w:rPr>
          <w:sz w:val="24"/>
        </w:rPr>
        <w:instrText xml:space="preserve"> HYPERLINK "http://www.cbda.cn/html/tzgg/20190220/125449.html" \t "_blank" </w:instrText>
      </w:r>
      <w:r>
        <w:rPr>
          <w:sz w:val="24"/>
        </w:rPr>
        <w:fldChar w:fldCharType="separate"/>
      </w:r>
      <w:r>
        <w:rPr>
          <w:rFonts w:hint="eastAsia"/>
          <w:sz w:val="24"/>
        </w:rPr>
        <w:t>筑幕墙工程设计文件编制标准</w:t>
      </w:r>
      <w:r>
        <w:rPr>
          <w:rFonts w:hint="eastAsia"/>
          <w:sz w:val="24"/>
        </w:rPr>
        <w:fldChar w:fldCharType="end"/>
      </w:r>
      <w:r>
        <w:rPr>
          <w:rFonts w:hint="eastAsia"/>
          <w:sz w:val="24"/>
        </w:rPr>
        <w:t>》T</w:t>
      </w:r>
      <w:r>
        <w:rPr>
          <w:sz w:val="24"/>
        </w:rPr>
        <w:t>/CBDA26-2019</w:t>
      </w:r>
    </w:p>
    <w:p>
      <w:pPr>
        <w:pStyle w:val="5"/>
        <w:spacing w:line="360" w:lineRule="auto"/>
        <w:ind w:firstLine="480"/>
        <w:outlineLvl w:val="2"/>
        <w:rPr>
          <w:sz w:val="24"/>
        </w:rPr>
      </w:pPr>
      <w:bookmarkStart w:id="6" w:name="_Toc12634"/>
      <w:r>
        <w:rPr>
          <w:rFonts w:hint="eastAsia"/>
          <w:sz w:val="24"/>
        </w:rPr>
        <w:t>58．《建筑室内装饰装修制图标准》T</w:t>
      </w:r>
      <w:r>
        <w:rPr>
          <w:sz w:val="24"/>
        </w:rPr>
        <w:t>/</w:t>
      </w:r>
      <w:r>
        <w:rPr>
          <w:rFonts w:hint="eastAsia"/>
          <w:sz w:val="24"/>
        </w:rPr>
        <w:t>CBDA47-2021</w:t>
      </w:r>
      <w:bookmarkEnd w:id="6"/>
    </w:p>
    <w:p>
      <w:pPr>
        <w:pStyle w:val="5"/>
        <w:spacing w:line="360" w:lineRule="auto"/>
        <w:ind w:firstLine="480"/>
        <w:rPr>
          <w:rFonts w:hint="eastAsia"/>
          <w:sz w:val="24"/>
        </w:rPr>
      </w:pPr>
      <w:r>
        <w:rPr>
          <w:rFonts w:hint="eastAsia"/>
          <w:sz w:val="24"/>
        </w:rPr>
        <w:t>5</w:t>
      </w:r>
      <w:r>
        <w:rPr>
          <w:sz w:val="24"/>
        </w:rPr>
        <w:t>9.</w:t>
      </w:r>
      <w:r>
        <w:rPr>
          <w:rFonts w:hint="eastAsia"/>
          <w:sz w:val="24"/>
        </w:rPr>
        <w:t>《建筑装饰装修室内空间照明设计应用标准》T</w:t>
      </w:r>
      <w:r>
        <w:rPr>
          <w:sz w:val="24"/>
        </w:rPr>
        <w:t>/</w:t>
      </w:r>
      <w:r>
        <w:rPr>
          <w:rFonts w:hint="eastAsia"/>
          <w:sz w:val="24"/>
        </w:rPr>
        <w:t>CBDA4</w:t>
      </w:r>
      <w:r>
        <w:rPr>
          <w:sz w:val="24"/>
        </w:rPr>
        <w:t>9</w:t>
      </w:r>
      <w:r>
        <w:rPr>
          <w:rFonts w:hint="eastAsia"/>
          <w:sz w:val="24"/>
        </w:rPr>
        <w:t>-2021</w:t>
      </w:r>
    </w:p>
    <w:p>
      <w:pPr>
        <w:pStyle w:val="5"/>
        <w:spacing w:line="360" w:lineRule="auto"/>
        <w:ind w:firstLine="480"/>
        <w:outlineLvl w:val="2"/>
        <w:rPr>
          <w:rFonts w:hint="eastAsia"/>
          <w:sz w:val="24"/>
        </w:rPr>
      </w:pPr>
      <w:bookmarkStart w:id="7" w:name="_Toc32215"/>
      <w:r>
        <w:rPr>
          <w:rFonts w:hint="eastAsia"/>
          <w:sz w:val="24"/>
        </w:rPr>
        <w:t>60.《建筑防火通用规范》GB55037-2022</w:t>
      </w:r>
      <w:bookmarkEnd w:id="7"/>
    </w:p>
    <w:p>
      <w:pPr>
        <w:pStyle w:val="5"/>
        <w:spacing w:line="360" w:lineRule="auto"/>
        <w:ind w:firstLine="480"/>
        <w:rPr>
          <w:sz w:val="24"/>
        </w:rPr>
      </w:pPr>
      <w:r>
        <w:rPr>
          <w:rFonts w:hint="eastAsia"/>
          <w:sz w:val="24"/>
        </w:rPr>
        <w:t>说明：上文未</w:t>
      </w:r>
      <w:r>
        <w:rPr>
          <w:sz w:val="24"/>
        </w:rPr>
        <w:t>列标准</w:t>
      </w:r>
      <w:r>
        <w:rPr>
          <w:rFonts w:hint="eastAsia"/>
          <w:sz w:val="24"/>
        </w:rPr>
        <w:t>、</w:t>
      </w:r>
      <w:r>
        <w:rPr>
          <w:sz w:val="24"/>
        </w:rPr>
        <w:t>规范</w:t>
      </w:r>
      <w:r>
        <w:rPr>
          <w:rFonts w:hint="eastAsia"/>
          <w:sz w:val="24"/>
        </w:rPr>
        <w:t>以</w:t>
      </w:r>
      <w:r>
        <w:rPr>
          <w:sz w:val="24"/>
        </w:rPr>
        <w:t>国家、行业</w:t>
      </w:r>
      <w:r>
        <w:rPr>
          <w:rFonts w:hint="eastAsia"/>
          <w:sz w:val="24"/>
        </w:rPr>
        <w:t>、</w:t>
      </w:r>
      <w:r>
        <w:rPr>
          <w:sz w:val="24"/>
        </w:rPr>
        <w:t>团体现行标准</w:t>
      </w:r>
      <w:r>
        <w:rPr>
          <w:rFonts w:hint="eastAsia"/>
          <w:sz w:val="24"/>
        </w:rPr>
        <w:t>、</w:t>
      </w:r>
      <w:r>
        <w:rPr>
          <w:sz w:val="24"/>
        </w:rPr>
        <w:t>规范</w:t>
      </w:r>
      <w:r>
        <w:rPr>
          <w:rFonts w:hint="eastAsia"/>
          <w:sz w:val="24"/>
        </w:rPr>
        <w:t>为</w:t>
      </w:r>
      <w:r>
        <w:rPr>
          <w:sz w:val="24"/>
        </w:rPr>
        <w:t>准</w:t>
      </w:r>
      <w:r>
        <w:rPr>
          <w:rFonts w:hint="eastAsia"/>
          <w:sz w:val="24"/>
        </w:rPr>
        <w:t>。</w:t>
      </w:r>
    </w:p>
    <w:p>
      <w:pPr>
        <w:pStyle w:val="5"/>
        <w:spacing w:line="360" w:lineRule="auto"/>
        <w:ind w:firstLine="480"/>
        <w:rPr>
          <w:rFonts w:hint="eastAsia"/>
          <w:sz w:val="24"/>
        </w:rPr>
      </w:pPr>
    </w:p>
    <w:p>
      <w:pPr>
        <w:pStyle w:val="5"/>
        <w:spacing w:line="360" w:lineRule="auto"/>
        <w:ind w:firstLine="480"/>
        <w:rPr>
          <w:rFonts w:hint="eastAsia"/>
          <w:sz w:val="24"/>
        </w:rPr>
        <w:sectPr>
          <w:pgSz w:w="11906" w:h="16838"/>
          <w:pgMar w:top="1440" w:right="1247" w:bottom="1440" w:left="1587" w:header="851" w:footer="992" w:gutter="0"/>
          <w:pgNumType w:fmt="numberInDash"/>
          <w:cols w:space="720" w:num="1"/>
          <w:docGrid w:type="lines" w:linePitch="312" w:charSpace="0"/>
        </w:sectPr>
      </w:pPr>
    </w:p>
    <w:p>
      <w:pPr>
        <w:jc w:val="center"/>
        <w:outlineLvl w:val="1"/>
        <w:rPr>
          <w:rFonts w:ascii="宋体" w:hAnsi="宋体"/>
          <w:bCs/>
          <w:sz w:val="10"/>
          <w:szCs w:val="10"/>
        </w:rPr>
      </w:pPr>
      <w:bookmarkStart w:id="8" w:name="_Toc23941"/>
      <w:r>
        <w:rPr>
          <w:rFonts w:hint="eastAsia" w:ascii="黑体" w:hAnsi="黑体" w:eastAsia="黑体"/>
          <w:sz w:val="30"/>
          <w:szCs w:val="30"/>
        </w:rPr>
        <w:t>三、工程复查实施细则</w:t>
      </w:r>
      <w:r>
        <w:rPr>
          <w:rFonts w:hint="eastAsia" w:ascii="宋体" w:hAnsi="宋体"/>
          <w:bCs/>
          <w:sz w:val="30"/>
          <w:szCs w:val="30"/>
        </w:rPr>
        <w:t>——公共建筑装饰类（展陈工程）</w:t>
      </w:r>
      <w:bookmarkEnd w:id="8"/>
    </w:p>
    <w:tbl>
      <w:tblPr>
        <w:tblStyle w:val="3"/>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center"/>
              <w:rPr>
                <w:b/>
                <w:bCs/>
                <w:sz w:val="24"/>
              </w:rPr>
            </w:pPr>
            <w:r>
              <w:rPr>
                <w:rFonts w:hint="eastAsia"/>
                <w:b/>
                <w:bCs/>
                <w:sz w:val="24"/>
              </w:rPr>
              <w:t>复查方法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567"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ascii="宋体" w:hAnsi="宋体"/>
                <w:szCs w:val="21"/>
              </w:rPr>
              <w:t>1</w:t>
            </w:r>
          </w:p>
        </w:tc>
        <w:tc>
          <w:tcPr>
            <w:tcW w:w="1277" w:type="dxa"/>
            <w:vMerge w:val="restart"/>
            <w:tcBorders>
              <w:top w:val="single" w:color="auto" w:sz="4" w:space="0"/>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黑体" w:hAnsi="黑体" w:eastAsia="黑体"/>
                <w:szCs w:val="21"/>
              </w:rPr>
            </w:pPr>
            <w:r>
              <w:rPr>
                <w:rFonts w:hint="eastAsia" w:ascii="黑体" w:hAnsi="黑体" w:eastAsia="黑体"/>
                <w:szCs w:val="21"/>
              </w:rPr>
              <w:t>必要文件：</w:t>
            </w:r>
          </w:p>
          <w:p>
            <w:pPr>
              <w:snapToGrid w:val="0"/>
              <w:spacing w:line="276" w:lineRule="auto"/>
              <w:rPr>
                <w:rFonts w:ascii="宋体" w:hAnsi="宋体"/>
                <w:szCs w:val="21"/>
              </w:rPr>
            </w:pPr>
            <w:r>
              <w:rPr>
                <w:rFonts w:hint="eastAsia" w:ascii="宋体" w:hAnsi="宋体"/>
                <w:szCs w:val="21"/>
              </w:rPr>
              <w:t>1.企业法人营业证照、资质等级证书、安全生产许可证（此三项上一年度参评企业可提供加盖本单位公章的复印件）；</w:t>
            </w:r>
          </w:p>
          <w:p>
            <w:pPr>
              <w:pStyle w:val="5"/>
              <w:snapToGrid w:val="0"/>
              <w:spacing w:line="276" w:lineRule="auto"/>
              <w:ind w:left="33" w:firstLine="0" w:firstLineChars="0"/>
              <w:rPr>
                <w:rFonts w:ascii="宋体" w:hAnsi="宋体"/>
                <w:szCs w:val="21"/>
              </w:rPr>
            </w:pPr>
            <w:r>
              <w:rPr>
                <w:rFonts w:hint="eastAsia" w:ascii="宋体" w:hAnsi="宋体"/>
                <w:szCs w:val="21"/>
              </w:rPr>
              <w:t>2.项目经理注册建造师证书、安全生产考核合格证；</w:t>
            </w:r>
          </w:p>
          <w:p>
            <w:pPr>
              <w:pStyle w:val="5"/>
              <w:snapToGrid w:val="0"/>
              <w:spacing w:line="276" w:lineRule="auto"/>
              <w:ind w:firstLine="0" w:firstLineChars="0"/>
            </w:pPr>
            <w:r>
              <w:rPr>
                <w:rFonts w:ascii="宋体" w:hAnsi="宋体"/>
                <w:szCs w:val="21"/>
              </w:rPr>
              <w:t>3.</w:t>
            </w:r>
            <w:r>
              <w:rPr>
                <w:rFonts w:hint="eastAsia" w:ascii="宋体" w:hAnsi="宋体"/>
                <w:szCs w:val="21"/>
              </w:rPr>
              <w:t>项目承包合同；</w:t>
            </w:r>
          </w:p>
          <w:p>
            <w:pPr>
              <w:pStyle w:val="5"/>
              <w:snapToGrid w:val="0"/>
              <w:spacing w:line="276" w:lineRule="auto"/>
              <w:ind w:left="33" w:firstLine="0" w:firstLineChars="0"/>
            </w:pPr>
            <w:r>
              <w:rPr>
                <w:rFonts w:hint="eastAsia" w:ascii="宋体" w:hAnsi="宋体"/>
                <w:szCs w:val="21"/>
              </w:rPr>
              <w:t>4.施工许可相关证明文件</w:t>
            </w:r>
            <w:r>
              <w:rPr>
                <w:rFonts w:hint="eastAsia"/>
              </w:rPr>
              <w:t>（或政府批复项目的有关证明）</w:t>
            </w:r>
            <w:r>
              <w:rPr>
                <w:rFonts w:hint="eastAsia" w:ascii="宋体" w:hAnsi="宋体"/>
                <w:szCs w:val="21"/>
              </w:rPr>
              <w:t>；</w:t>
            </w:r>
          </w:p>
          <w:p>
            <w:pPr>
              <w:snapToGrid w:val="0"/>
              <w:spacing w:line="276" w:lineRule="auto"/>
              <w:rPr>
                <w:rFonts w:ascii="宋体" w:hAnsi="宋体"/>
                <w:szCs w:val="21"/>
              </w:rPr>
            </w:pPr>
            <w:r>
              <w:rPr>
                <w:rFonts w:hint="eastAsia" w:ascii="宋体" w:hAnsi="宋体"/>
                <w:szCs w:val="21"/>
              </w:rPr>
              <w:t>5.项目竣工验收证明文件（相关责任主体签章必须齐全）；</w:t>
            </w:r>
          </w:p>
          <w:p>
            <w:pPr>
              <w:snapToGrid w:val="0"/>
              <w:spacing w:line="276" w:lineRule="auto"/>
              <w:rPr>
                <w:rFonts w:ascii="宋体" w:hAnsi="宋体"/>
                <w:szCs w:val="21"/>
              </w:rPr>
            </w:pPr>
            <w:r>
              <w:rPr>
                <w:rFonts w:hint="eastAsia" w:ascii="宋体" w:hAnsi="宋体"/>
                <w:szCs w:val="21"/>
              </w:rPr>
              <w:t>6.消防验收合格证明或消防竣工备案证明；</w:t>
            </w:r>
          </w:p>
          <w:p>
            <w:pPr>
              <w:snapToGrid w:val="0"/>
              <w:spacing w:line="276" w:lineRule="auto"/>
              <w:rPr>
                <w:rFonts w:ascii="宋体" w:hAnsi="宋体"/>
                <w:szCs w:val="21"/>
              </w:rPr>
            </w:pPr>
            <w:r>
              <w:rPr>
                <w:rFonts w:hint="eastAsia" w:ascii="宋体" w:hAnsi="宋体"/>
                <w:szCs w:val="21"/>
              </w:rPr>
              <w:t>7.室内环境质量检测报告，需由具备相应资质的检测机构出具；</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必要文件有一项不合格或不符合要求者不予评审。</w:t>
            </w:r>
          </w:p>
        </w:tc>
        <w:tc>
          <w:tcPr>
            <w:tcW w:w="1701" w:type="dxa"/>
            <w:tcBorders>
              <w:top w:val="single" w:color="auto" w:sz="4" w:space="0"/>
              <w:left w:val="single" w:color="auto" w:sz="4" w:space="0"/>
              <w:right w:val="single" w:color="auto" w:sz="4" w:space="0"/>
            </w:tcBorders>
            <w:noWrap w:val="0"/>
            <w:vAlign w:val="center"/>
          </w:tcPr>
          <w:p>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vMerge w:val="restart"/>
            <w:tcBorders>
              <w:top w:val="single" w:color="auto" w:sz="4" w:space="0"/>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查：相关文件资料原件或电子证件（提供网查链接）；</w:t>
            </w:r>
          </w:p>
          <w:p>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1277" w:type="dxa"/>
            <w:vMerge w:val="continue"/>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黑体" w:hAnsi="黑体" w:eastAsia="黑体"/>
                <w:spacing w:val="-4"/>
                <w:szCs w:val="21"/>
              </w:rPr>
            </w:pPr>
            <w:r>
              <w:rPr>
                <w:rFonts w:hint="eastAsia" w:ascii="黑体" w:hAnsi="黑体" w:eastAsia="黑体"/>
                <w:szCs w:val="21"/>
              </w:rPr>
              <w:t>工程资料：</w:t>
            </w:r>
          </w:p>
          <w:p>
            <w:pPr>
              <w:pStyle w:val="5"/>
              <w:snapToGrid w:val="0"/>
              <w:spacing w:line="360" w:lineRule="auto"/>
              <w:ind w:firstLine="0" w:firstLineChars="0"/>
              <w:rPr>
                <w:rFonts w:ascii="宋体" w:hAnsi="宋体"/>
                <w:spacing w:val="-4"/>
                <w:szCs w:val="21"/>
              </w:rPr>
            </w:pPr>
            <w:r>
              <w:rPr>
                <w:rFonts w:hint="eastAsia" w:ascii="宋体" w:hAnsi="宋体"/>
                <w:spacing w:val="-4"/>
                <w:szCs w:val="21"/>
              </w:rPr>
              <w:t>1.装饰装修部分按照公共建筑装饰类（公共建筑装饰工程）执行；</w:t>
            </w:r>
          </w:p>
          <w:p>
            <w:pPr>
              <w:snapToGrid w:val="0"/>
              <w:spacing w:line="360" w:lineRule="auto"/>
              <w:rPr>
                <w:rFonts w:ascii="宋体" w:hAnsi="宋体"/>
                <w:spacing w:val="-4"/>
                <w:szCs w:val="21"/>
              </w:rPr>
            </w:pPr>
            <w:r>
              <w:rPr>
                <w:rFonts w:hint="eastAsia" w:ascii="宋体" w:hAnsi="宋体"/>
                <w:spacing w:val="-4"/>
                <w:szCs w:val="21"/>
              </w:rPr>
              <w:t>2</w:t>
            </w:r>
            <w:r>
              <w:rPr>
                <w:rFonts w:ascii="宋体" w:hAnsi="宋体"/>
                <w:spacing w:val="-4"/>
                <w:szCs w:val="21"/>
              </w:rPr>
              <w:t>.</w:t>
            </w:r>
            <w:r>
              <w:rPr>
                <w:rFonts w:hint="eastAsia" w:ascii="宋体" w:hAnsi="宋体"/>
                <w:spacing w:val="-4"/>
                <w:szCs w:val="21"/>
              </w:rPr>
              <w:t>文本资料(展陈大纲等），（无文本资料或内容问题较大扣1</w:t>
            </w:r>
            <w:r>
              <w:rPr>
                <w:rFonts w:ascii="宋体" w:hAnsi="宋体"/>
                <w:spacing w:val="-4"/>
                <w:szCs w:val="21"/>
              </w:rPr>
              <w:t>0</w:t>
            </w:r>
            <w:r>
              <w:rPr>
                <w:rFonts w:hint="eastAsia" w:ascii="宋体" w:hAnsi="宋体"/>
                <w:spacing w:val="-4"/>
                <w:szCs w:val="21"/>
              </w:rPr>
              <w:t>-1</w:t>
            </w:r>
            <w:r>
              <w:rPr>
                <w:rFonts w:ascii="宋体" w:hAnsi="宋体"/>
                <w:spacing w:val="-4"/>
                <w:szCs w:val="21"/>
              </w:rPr>
              <w:t>5</w:t>
            </w:r>
            <w:r>
              <w:rPr>
                <w:rFonts w:hint="eastAsia" w:ascii="宋体" w:hAnsi="宋体"/>
                <w:spacing w:val="-4"/>
                <w:szCs w:val="21"/>
              </w:rPr>
              <w:t>分）。</w:t>
            </w:r>
          </w:p>
          <w:p>
            <w:pPr>
              <w:snapToGrid w:val="0"/>
              <w:spacing w:line="360" w:lineRule="auto"/>
              <w:rPr>
                <w:rFonts w:ascii="宋体" w:hAnsi="宋体"/>
                <w:spacing w:val="-4"/>
                <w:szCs w:val="21"/>
              </w:rPr>
            </w:pPr>
            <w:r>
              <w:rPr>
                <w:rFonts w:hint="eastAsia" w:ascii="宋体" w:hAnsi="宋体"/>
                <w:spacing w:val="-4"/>
                <w:szCs w:val="21"/>
              </w:rPr>
              <w:t>3</w:t>
            </w:r>
            <w:r>
              <w:rPr>
                <w:rFonts w:ascii="宋体" w:hAnsi="宋体"/>
                <w:spacing w:val="-4"/>
                <w:szCs w:val="21"/>
              </w:rPr>
              <w:t>.</w:t>
            </w:r>
            <w:r>
              <w:rPr>
                <w:rFonts w:hint="eastAsia" w:ascii="宋体" w:hAnsi="宋体"/>
                <w:spacing w:val="-4"/>
                <w:szCs w:val="21"/>
              </w:rPr>
              <w:t>动线资料：疏散动线明确（符合国家颁布的紧急避险等标准）；参观动线（V</w:t>
            </w:r>
            <w:r>
              <w:rPr>
                <w:rFonts w:ascii="宋体" w:hAnsi="宋体"/>
                <w:spacing w:val="-4"/>
                <w:szCs w:val="21"/>
              </w:rPr>
              <w:t>IP</w:t>
            </w:r>
            <w:r>
              <w:rPr>
                <w:rFonts w:hint="eastAsia" w:ascii="宋体" w:hAnsi="宋体"/>
                <w:spacing w:val="-4"/>
                <w:szCs w:val="21"/>
              </w:rPr>
              <w:t>、普通观众、残疾人）明确，并与图纸一致。</w:t>
            </w:r>
          </w:p>
          <w:p>
            <w:pPr>
              <w:snapToGrid w:val="0"/>
              <w:spacing w:line="360" w:lineRule="auto"/>
              <w:rPr>
                <w:rFonts w:ascii="宋体" w:hAnsi="宋体"/>
                <w:spacing w:val="-4"/>
                <w:szCs w:val="21"/>
              </w:rPr>
            </w:pPr>
            <w:r>
              <w:rPr>
                <w:rFonts w:hint="eastAsia" w:ascii="宋体" w:hAnsi="宋体"/>
                <w:spacing w:val="-4"/>
                <w:szCs w:val="21"/>
              </w:rPr>
              <w:t>4</w:t>
            </w:r>
            <w:r>
              <w:rPr>
                <w:rFonts w:ascii="宋体" w:hAnsi="宋体"/>
                <w:spacing w:val="-4"/>
                <w:szCs w:val="21"/>
              </w:rPr>
              <w:t>.</w:t>
            </w:r>
            <w:r>
              <w:rPr>
                <w:rFonts w:hint="eastAsia" w:ascii="宋体" w:hAnsi="宋体"/>
                <w:spacing w:val="-4"/>
                <w:szCs w:val="21"/>
              </w:rPr>
              <w:t>配色系统：所有施工现场与原方案（深化设计方案）标注色样一致。</w:t>
            </w:r>
          </w:p>
          <w:p>
            <w:pPr>
              <w:snapToGrid w:val="0"/>
              <w:spacing w:line="360" w:lineRule="auto"/>
              <w:rPr>
                <w:rFonts w:ascii="宋体" w:hAnsi="宋体"/>
                <w:spacing w:val="-4"/>
                <w:szCs w:val="21"/>
              </w:rPr>
            </w:pPr>
            <w:r>
              <w:rPr>
                <w:rFonts w:hint="eastAsia" w:ascii="宋体" w:hAnsi="宋体"/>
                <w:spacing w:val="-4"/>
                <w:szCs w:val="21"/>
              </w:rPr>
              <w:t>5</w:t>
            </w:r>
            <w:r>
              <w:rPr>
                <w:rFonts w:ascii="宋体" w:hAnsi="宋体"/>
                <w:spacing w:val="-4"/>
                <w:szCs w:val="21"/>
              </w:rPr>
              <w:t>.</w:t>
            </w:r>
            <w:r>
              <w:rPr>
                <w:rFonts w:hint="eastAsia" w:ascii="宋体" w:hAnsi="宋体"/>
                <w:spacing w:val="-4"/>
                <w:szCs w:val="21"/>
              </w:rPr>
              <w:t>灯光照明：现场测光（环境光源、展品照明光源）与原设计方案（深化设计方案）一致。</w:t>
            </w:r>
          </w:p>
          <w:p>
            <w:pPr>
              <w:snapToGrid w:val="0"/>
              <w:spacing w:line="360" w:lineRule="auto"/>
              <w:rPr>
                <w:rFonts w:ascii="宋体" w:hAnsi="宋体"/>
                <w:spacing w:val="-4"/>
                <w:szCs w:val="21"/>
              </w:rPr>
            </w:pPr>
            <w:r>
              <w:rPr>
                <w:rFonts w:hint="eastAsia" w:ascii="宋体" w:hAnsi="宋体"/>
                <w:spacing w:val="-4"/>
                <w:szCs w:val="21"/>
              </w:rPr>
              <w:t>6</w:t>
            </w:r>
            <w:r>
              <w:rPr>
                <w:rFonts w:ascii="宋体" w:hAnsi="宋体"/>
                <w:spacing w:val="-4"/>
                <w:szCs w:val="21"/>
              </w:rPr>
              <w:t>.</w:t>
            </w:r>
            <w:r>
              <w:rPr>
                <w:rFonts w:hint="eastAsia" w:ascii="宋体" w:hAnsi="宋体"/>
                <w:spacing w:val="-4"/>
                <w:szCs w:val="21"/>
              </w:rPr>
              <w:t>导览导视系统：重要空间节点指向明确，与图纸表述一致。</w:t>
            </w:r>
          </w:p>
          <w:p>
            <w:pPr>
              <w:snapToGrid w:val="0"/>
              <w:spacing w:line="360" w:lineRule="auto"/>
              <w:rPr>
                <w:rFonts w:ascii="宋体" w:hAnsi="宋体"/>
                <w:spacing w:val="-4"/>
                <w:szCs w:val="21"/>
              </w:rPr>
            </w:pPr>
            <w:r>
              <w:rPr>
                <w:rFonts w:hint="eastAsia" w:ascii="宋体" w:hAnsi="宋体"/>
                <w:spacing w:val="-4"/>
                <w:szCs w:val="21"/>
              </w:rPr>
              <w:t>7</w:t>
            </w:r>
            <w:r>
              <w:rPr>
                <w:rFonts w:ascii="宋体" w:hAnsi="宋体"/>
                <w:spacing w:val="-4"/>
                <w:szCs w:val="21"/>
              </w:rPr>
              <w:t>.</w:t>
            </w:r>
            <w:r>
              <w:rPr>
                <w:rFonts w:hint="eastAsia" w:ascii="宋体" w:hAnsi="宋体"/>
                <w:spacing w:val="-4"/>
                <w:szCs w:val="21"/>
              </w:rPr>
              <w:t>线上内容延展：确保数字终端浏览顺畅。</w:t>
            </w:r>
          </w:p>
          <w:p>
            <w:pPr>
              <w:snapToGrid w:val="0"/>
              <w:spacing w:line="360" w:lineRule="auto"/>
              <w:rPr>
                <w:rFonts w:ascii="宋体" w:hAnsi="宋体"/>
                <w:spacing w:val="-4"/>
                <w:szCs w:val="21"/>
              </w:rPr>
            </w:pPr>
            <w:r>
              <w:rPr>
                <w:rFonts w:hint="eastAsia" w:ascii="宋体" w:hAnsi="宋体"/>
                <w:spacing w:val="-4"/>
                <w:szCs w:val="21"/>
              </w:rPr>
              <w:t>8.有展区布展图，主要展项及相关内容的制作安装图。</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装饰装修部分扣分项按公共建筑装饰类执行；</w:t>
            </w:r>
          </w:p>
          <w:p>
            <w:pPr>
              <w:pStyle w:val="5"/>
              <w:snapToGrid w:val="0"/>
              <w:spacing w:line="360" w:lineRule="auto"/>
              <w:ind w:firstLine="0" w:firstLineChars="0"/>
              <w:rPr>
                <w:rFonts w:ascii="宋体" w:hAnsi="宋体"/>
                <w:szCs w:val="21"/>
              </w:rPr>
            </w:pPr>
            <w:r>
              <w:rPr>
                <w:rFonts w:hint="eastAsia" w:ascii="宋体" w:hAnsi="宋体"/>
                <w:szCs w:val="21"/>
              </w:rPr>
              <w:t>2.展陈部分无文本资料或文本资料内容问题较大的扣1</w:t>
            </w:r>
            <w:r>
              <w:rPr>
                <w:rFonts w:ascii="宋体" w:hAnsi="宋体"/>
                <w:szCs w:val="21"/>
              </w:rPr>
              <w:t>0</w:t>
            </w:r>
            <w:r>
              <w:rPr>
                <w:rFonts w:hint="eastAsia" w:ascii="宋体" w:hAnsi="宋体"/>
                <w:szCs w:val="21"/>
              </w:rPr>
              <w:t>-1</w:t>
            </w:r>
            <w:r>
              <w:rPr>
                <w:rFonts w:ascii="宋体" w:hAnsi="宋体"/>
                <w:szCs w:val="21"/>
              </w:rPr>
              <w:t>5</w:t>
            </w:r>
            <w:r>
              <w:rPr>
                <w:rFonts w:hint="eastAsia" w:ascii="宋体" w:hAnsi="宋体"/>
                <w:szCs w:val="21"/>
              </w:rPr>
              <w:t>分；</w:t>
            </w:r>
          </w:p>
          <w:p>
            <w:pPr>
              <w:pStyle w:val="5"/>
              <w:snapToGrid w:val="0"/>
              <w:spacing w:line="360" w:lineRule="auto"/>
              <w:ind w:firstLine="0" w:firstLineChars="0"/>
              <w:rPr>
                <w:rFonts w:ascii="宋体" w:hAnsi="宋体"/>
                <w:szCs w:val="21"/>
              </w:rPr>
            </w:pPr>
            <w:r>
              <w:rPr>
                <w:rFonts w:hint="eastAsia" w:ascii="宋体" w:hAnsi="宋体"/>
                <w:szCs w:val="21"/>
              </w:rPr>
              <w:t>3.其他部分不符合项每项扣1-</w:t>
            </w:r>
            <w:r>
              <w:rPr>
                <w:rFonts w:ascii="宋体" w:hAnsi="宋体"/>
                <w:szCs w:val="21"/>
              </w:rPr>
              <w:t>3</w:t>
            </w:r>
            <w:r>
              <w:rPr>
                <w:rFonts w:hint="eastAsia" w:ascii="宋体" w:hAnsi="宋体"/>
                <w:szCs w:val="21"/>
              </w:rPr>
              <w:t>分。</w:t>
            </w:r>
          </w:p>
        </w:tc>
        <w:tc>
          <w:tcPr>
            <w:tcW w:w="1701" w:type="dxa"/>
            <w:tcBorders>
              <w:left w:val="single" w:color="auto" w:sz="4" w:space="0"/>
              <w:right w:val="single" w:color="auto" w:sz="4" w:space="0"/>
            </w:tcBorders>
            <w:noWrap w:val="0"/>
            <w:vAlign w:val="center"/>
          </w:tcPr>
          <w:p>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涉及</w:t>
            </w:r>
            <w:r>
              <w:rPr>
                <w:kern w:val="1"/>
                <w:szCs w:val="21"/>
              </w:rPr>
              <w:t>主体</w:t>
            </w:r>
            <w:r>
              <w:rPr>
                <w:rFonts w:hint="eastAsia"/>
                <w:kern w:val="1"/>
                <w:szCs w:val="21"/>
              </w:rPr>
              <w:t>和</w:t>
            </w:r>
            <w:r>
              <w:rPr>
                <w:kern w:val="1"/>
                <w:szCs w:val="21"/>
              </w:rPr>
              <w:t>承重结构</w:t>
            </w:r>
            <w:r>
              <w:rPr>
                <w:rFonts w:hint="eastAsia"/>
                <w:kern w:val="1"/>
                <w:szCs w:val="21"/>
              </w:rPr>
              <w:t>改动或</w:t>
            </w:r>
            <w:r>
              <w:rPr>
                <w:kern w:val="1"/>
                <w:szCs w:val="21"/>
              </w:rPr>
              <w:t>增加荷载</w:t>
            </w:r>
            <w:r>
              <w:rPr>
                <w:rFonts w:hint="eastAsia"/>
                <w:kern w:val="1"/>
                <w:szCs w:val="21"/>
              </w:rPr>
              <w:t>时</w:t>
            </w:r>
            <w:r>
              <w:rPr>
                <w:kern w:val="1"/>
                <w:szCs w:val="21"/>
              </w:rPr>
              <w:t>，必须</w:t>
            </w:r>
            <w:r>
              <w:rPr>
                <w:rFonts w:hint="eastAsia"/>
                <w:kern w:val="1"/>
                <w:szCs w:val="21"/>
              </w:rPr>
              <w:t>经原结构</w:t>
            </w:r>
            <w:r>
              <w:rPr>
                <w:kern w:val="1"/>
                <w:szCs w:val="21"/>
              </w:rPr>
              <w:t>设计</w:t>
            </w:r>
            <w:r>
              <w:rPr>
                <w:rFonts w:hint="eastAsia"/>
                <w:kern w:val="1"/>
                <w:szCs w:val="21"/>
              </w:rPr>
              <w:t>单位或具备相应资质设计</w:t>
            </w:r>
            <w:r>
              <w:rPr>
                <w:kern w:val="1"/>
                <w:szCs w:val="21"/>
              </w:rPr>
              <w:t>单位的认可文件。</w:t>
            </w:r>
            <w:r>
              <w:rPr>
                <w:rFonts w:hint="eastAsia"/>
                <w:kern w:val="1"/>
                <w:szCs w:val="21"/>
              </w:rPr>
              <w:t>（需审查原件）</w:t>
            </w:r>
          </w:p>
          <w:p>
            <w:pPr>
              <w:adjustRightInd w:val="0"/>
              <w:snapToGrid w:val="0"/>
              <w:spacing w:line="324" w:lineRule="auto"/>
              <w:rPr>
                <w:kern w:val="1"/>
                <w:szCs w:val="21"/>
              </w:rPr>
            </w:pPr>
            <w:r>
              <w:rPr>
                <w:rFonts w:hint="eastAsia"/>
                <w:kern w:val="1"/>
                <w:szCs w:val="21"/>
              </w:rPr>
              <w:t>1.大型吊挂物安装须有过载试验和相关隐蔽资料、构架安装节点图；</w:t>
            </w:r>
          </w:p>
          <w:p>
            <w:pPr>
              <w:adjustRightInd w:val="0"/>
              <w:snapToGrid w:val="0"/>
              <w:spacing w:line="324" w:lineRule="auto"/>
              <w:rPr>
                <w:kern w:val="1"/>
                <w:szCs w:val="21"/>
              </w:rPr>
            </w:pPr>
            <w:r>
              <w:rPr>
                <w:rFonts w:hint="eastAsia"/>
                <w:kern w:val="1"/>
                <w:szCs w:val="21"/>
              </w:rPr>
              <w:t>2</w:t>
            </w:r>
            <w:r>
              <w:rPr>
                <w:kern w:val="1"/>
                <w:szCs w:val="21"/>
              </w:rPr>
              <w:t>.</w:t>
            </w:r>
            <w:r>
              <w:rPr>
                <w:rFonts w:hint="eastAsia"/>
                <w:kern w:val="1"/>
                <w:szCs w:val="21"/>
              </w:rPr>
              <w:t>主要动线应遵循不交叉、不回头、不重复原则。</w:t>
            </w:r>
          </w:p>
        </w:tc>
        <w:tc>
          <w:tcPr>
            <w:tcW w:w="851" w:type="dxa"/>
            <w:vMerge w:val="continue"/>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szCs w:val="21"/>
              </w:rPr>
              <w:t>结合工程实体查相关资料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67"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2</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工程实体</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w:t>
            </w:r>
            <w:r>
              <w:rPr>
                <w:szCs w:val="21"/>
              </w:rPr>
              <w:t>.</w:t>
            </w:r>
            <w:r>
              <w:rPr>
                <w:rFonts w:hint="eastAsia"/>
                <w:szCs w:val="21"/>
              </w:rPr>
              <w:t>装饰装修部分复查按照公共建筑装饰类（公共建筑装饰工程）执行；</w:t>
            </w:r>
          </w:p>
          <w:p>
            <w:pPr>
              <w:snapToGrid w:val="0"/>
              <w:spacing w:line="360" w:lineRule="auto"/>
              <w:rPr>
                <w:szCs w:val="21"/>
              </w:rPr>
            </w:pPr>
            <w:r>
              <w:rPr>
                <w:rFonts w:hint="eastAsia"/>
                <w:szCs w:val="21"/>
              </w:rPr>
              <w:t>2</w:t>
            </w:r>
            <w:r>
              <w:rPr>
                <w:szCs w:val="21"/>
              </w:rPr>
              <w:t>.</w:t>
            </w:r>
            <w:r>
              <w:rPr>
                <w:rFonts w:hint="eastAsia"/>
                <w:szCs w:val="21"/>
              </w:rPr>
              <w:t>展柜和壁龛应安装牢固，符合设计要求；</w:t>
            </w:r>
          </w:p>
          <w:p>
            <w:pPr>
              <w:snapToGrid w:val="0"/>
              <w:spacing w:line="360" w:lineRule="auto"/>
              <w:rPr>
                <w:szCs w:val="21"/>
              </w:rPr>
            </w:pPr>
            <w:r>
              <w:rPr>
                <w:rFonts w:hint="eastAsia"/>
                <w:szCs w:val="21"/>
              </w:rPr>
              <w:t>3</w:t>
            </w:r>
            <w:r>
              <w:rPr>
                <w:szCs w:val="21"/>
              </w:rPr>
              <w:t>.</w:t>
            </w:r>
            <w:r>
              <w:rPr>
                <w:rFonts w:hint="eastAsia"/>
                <w:szCs w:val="21"/>
              </w:rPr>
              <w:t>文物展柜恒温恒湿设备运行良好，符合设计要求；</w:t>
            </w:r>
          </w:p>
          <w:p>
            <w:pPr>
              <w:snapToGrid w:val="0"/>
              <w:spacing w:line="360" w:lineRule="auto"/>
              <w:rPr>
                <w:szCs w:val="21"/>
              </w:rPr>
            </w:pPr>
            <w:r>
              <w:rPr>
                <w:rFonts w:hint="eastAsia"/>
                <w:szCs w:val="21"/>
              </w:rPr>
              <w:t>4</w:t>
            </w:r>
            <w:r>
              <w:rPr>
                <w:szCs w:val="21"/>
              </w:rPr>
              <w:t>.</w:t>
            </w:r>
            <w:r>
              <w:rPr>
                <w:rFonts w:hint="eastAsia"/>
                <w:szCs w:val="21"/>
              </w:rPr>
              <w:t>文物展柜密封性良好，符合设计要求；</w:t>
            </w:r>
          </w:p>
          <w:p>
            <w:pPr>
              <w:snapToGrid w:val="0"/>
              <w:spacing w:line="360" w:lineRule="auto"/>
              <w:rPr>
                <w:szCs w:val="21"/>
              </w:rPr>
            </w:pPr>
            <w:r>
              <w:rPr>
                <w:rFonts w:hint="eastAsia"/>
                <w:szCs w:val="21"/>
              </w:rPr>
              <w:t>5</w:t>
            </w:r>
            <w:r>
              <w:rPr>
                <w:szCs w:val="21"/>
              </w:rPr>
              <w:t>.</w:t>
            </w:r>
            <w:r>
              <w:rPr>
                <w:rFonts w:hint="eastAsia"/>
                <w:szCs w:val="21"/>
              </w:rPr>
              <w:t>展柜和壁龛表面平整、洁净、接缝应严密吻合、色泽一致，不得有裂痕、歪斜、划痕、翘曲及损坏；</w:t>
            </w:r>
          </w:p>
          <w:p>
            <w:pPr>
              <w:snapToGrid w:val="0"/>
              <w:spacing w:line="360" w:lineRule="auto"/>
              <w:rPr>
                <w:szCs w:val="21"/>
              </w:rPr>
            </w:pPr>
            <w:r>
              <w:rPr>
                <w:rFonts w:hint="eastAsia"/>
                <w:szCs w:val="21"/>
              </w:rPr>
              <w:t>6</w:t>
            </w:r>
            <w:r>
              <w:rPr>
                <w:szCs w:val="21"/>
              </w:rPr>
              <w:t>.</w:t>
            </w:r>
            <w:r>
              <w:rPr>
                <w:rFonts w:hint="eastAsia"/>
                <w:szCs w:val="21"/>
              </w:rPr>
              <w:t>展台表面应洁净、光滑，边缘平直整齐，不得有尖角、毛刺等锋利易划伤现象；</w:t>
            </w:r>
          </w:p>
          <w:p>
            <w:pPr>
              <w:snapToGrid w:val="0"/>
              <w:spacing w:line="360" w:lineRule="auto"/>
              <w:rPr>
                <w:szCs w:val="21"/>
              </w:rPr>
            </w:pPr>
            <w:r>
              <w:rPr>
                <w:rFonts w:hint="eastAsia"/>
                <w:szCs w:val="21"/>
              </w:rPr>
              <w:t>7</w:t>
            </w:r>
            <w:r>
              <w:rPr>
                <w:szCs w:val="21"/>
              </w:rPr>
              <w:t>.</w:t>
            </w:r>
            <w:r>
              <w:rPr>
                <w:rFonts w:hint="eastAsia"/>
                <w:szCs w:val="21"/>
              </w:rPr>
              <w:t>五金设备应安装牢固，无晃动摇摆；</w:t>
            </w:r>
          </w:p>
          <w:p>
            <w:pPr>
              <w:snapToGrid w:val="0"/>
              <w:spacing w:line="360" w:lineRule="auto"/>
              <w:rPr>
                <w:szCs w:val="21"/>
              </w:rPr>
            </w:pPr>
            <w:r>
              <w:rPr>
                <w:rFonts w:hint="eastAsia"/>
                <w:szCs w:val="21"/>
              </w:rPr>
              <w:t>8</w:t>
            </w:r>
            <w:r>
              <w:rPr>
                <w:szCs w:val="21"/>
              </w:rPr>
              <w:t>.</w:t>
            </w:r>
            <w:r>
              <w:rPr>
                <w:rFonts w:hint="eastAsia"/>
                <w:szCs w:val="21"/>
              </w:rPr>
              <w:t>展品说明牌、展架、展托、卡具、容器等符合设计要求，安装牢固，表面光滑、边缘平直整齐，无毛刺，不得有歪斜和翘曲；</w:t>
            </w:r>
          </w:p>
          <w:p>
            <w:pPr>
              <w:snapToGrid w:val="0"/>
              <w:spacing w:line="360" w:lineRule="auto"/>
              <w:rPr>
                <w:szCs w:val="21"/>
              </w:rPr>
            </w:pPr>
            <w:r>
              <w:rPr>
                <w:rFonts w:hint="eastAsia"/>
                <w:szCs w:val="21"/>
              </w:rPr>
              <w:t>9</w:t>
            </w:r>
            <w:r>
              <w:rPr>
                <w:szCs w:val="21"/>
              </w:rPr>
              <w:t>.</w:t>
            </w:r>
            <w:r>
              <w:rPr>
                <w:rFonts w:hint="eastAsia"/>
                <w:szCs w:val="21"/>
              </w:rPr>
              <w:t>展板、展柜、展台等使用的材料应符合防火设计规范要求（不符合扣3-10分）；</w:t>
            </w:r>
          </w:p>
          <w:p>
            <w:pPr>
              <w:snapToGrid w:val="0"/>
              <w:spacing w:line="360" w:lineRule="auto"/>
              <w:rPr>
                <w:szCs w:val="21"/>
              </w:rPr>
            </w:pPr>
            <w:r>
              <w:rPr>
                <w:rFonts w:hint="eastAsia"/>
                <w:szCs w:val="21"/>
              </w:rPr>
              <w:t>1</w:t>
            </w:r>
            <w:r>
              <w:rPr>
                <w:szCs w:val="21"/>
              </w:rPr>
              <w:t>0</w:t>
            </w:r>
            <w:r>
              <w:rPr>
                <w:rFonts w:hint="eastAsia"/>
                <w:szCs w:val="21"/>
              </w:rPr>
              <w:t>．展板及图文粘贴牢固，不得有空鼓、翘边。表面应平整、洁净、色泽一致，不得有波纹、起伏、气泡、裂缝、皱折、斑污、胶痕；</w:t>
            </w:r>
          </w:p>
          <w:p>
            <w:pPr>
              <w:snapToGrid w:val="0"/>
              <w:spacing w:line="360" w:lineRule="auto"/>
              <w:rPr>
                <w:szCs w:val="21"/>
              </w:rPr>
            </w:pPr>
            <w:r>
              <w:rPr>
                <w:rFonts w:hint="eastAsia"/>
                <w:szCs w:val="21"/>
              </w:rPr>
              <w:t>11．场景、模型和沙盘的表面应洁净，接缝应严密吻合，不得有歪斜、翘曲及损坏，安装应牢固；</w:t>
            </w:r>
          </w:p>
          <w:p>
            <w:pPr>
              <w:snapToGrid w:val="0"/>
              <w:spacing w:line="360" w:lineRule="auto"/>
              <w:rPr>
                <w:szCs w:val="21"/>
              </w:rPr>
            </w:pPr>
            <w:r>
              <w:rPr>
                <w:rFonts w:hint="eastAsia"/>
                <w:szCs w:val="21"/>
              </w:rPr>
              <w:t>1</w:t>
            </w:r>
            <w:r>
              <w:rPr>
                <w:szCs w:val="21"/>
              </w:rPr>
              <w:t>2.</w:t>
            </w:r>
            <w:r>
              <w:rPr>
                <w:rFonts w:hint="eastAsia"/>
                <w:szCs w:val="21"/>
              </w:rPr>
              <w:t>雕塑、绘画所使用的材料应符合设计要求和国家现行有关标准的规定；</w:t>
            </w:r>
          </w:p>
          <w:p>
            <w:pPr>
              <w:snapToGrid w:val="0"/>
              <w:spacing w:line="360" w:lineRule="auto"/>
              <w:rPr>
                <w:szCs w:val="21"/>
              </w:rPr>
            </w:pPr>
            <w:r>
              <w:rPr>
                <w:rFonts w:hint="eastAsia"/>
                <w:szCs w:val="21"/>
              </w:rPr>
              <w:t>1</w:t>
            </w:r>
            <w:r>
              <w:rPr>
                <w:szCs w:val="21"/>
              </w:rPr>
              <w:t>3</w:t>
            </w:r>
            <w:r>
              <w:rPr>
                <w:rFonts w:hint="eastAsia"/>
                <w:szCs w:val="21"/>
              </w:rPr>
              <w:t>．重型雕塑应安装牢固并符合结构承重要求（不符合扣3-10分）；</w:t>
            </w:r>
          </w:p>
          <w:p>
            <w:pPr>
              <w:snapToGrid w:val="0"/>
              <w:spacing w:line="360" w:lineRule="auto"/>
              <w:rPr>
                <w:szCs w:val="21"/>
              </w:rPr>
            </w:pPr>
            <w:r>
              <w:rPr>
                <w:rFonts w:hint="eastAsia"/>
                <w:szCs w:val="21"/>
              </w:rPr>
              <w:t>1</w:t>
            </w:r>
            <w:r>
              <w:rPr>
                <w:szCs w:val="21"/>
              </w:rPr>
              <w:t>4.</w:t>
            </w:r>
            <w:r>
              <w:rPr>
                <w:rFonts w:hint="eastAsia"/>
                <w:szCs w:val="21"/>
              </w:rPr>
              <w:t>多媒体设备安装应牢固；</w:t>
            </w:r>
          </w:p>
          <w:p>
            <w:pPr>
              <w:snapToGrid w:val="0"/>
              <w:spacing w:line="360" w:lineRule="auto"/>
              <w:rPr>
                <w:szCs w:val="21"/>
              </w:rPr>
            </w:pPr>
            <w:r>
              <w:rPr>
                <w:rFonts w:hint="eastAsia"/>
                <w:szCs w:val="21"/>
              </w:rPr>
              <w:t>1</w:t>
            </w:r>
            <w:r>
              <w:rPr>
                <w:szCs w:val="21"/>
              </w:rPr>
              <w:t>5</w:t>
            </w:r>
            <w:r>
              <w:rPr>
                <w:rFonts w:hint="eastAsia"/>
                <w:szCs w:val="21"/>
              </w:rPr>
              <w:t>．多媒体设备运行正常，各类影片播放正常，无黑屏、坏点等现象；</w:t>
            </w:r>
          </w:p>
          <w:p>
            <w:pPr>
              <w:snapToGrid w:val="0"/>
              <w:spacing w:line="360" w:lineRule="auto"/>
              <w:rPr>
                <w:szCs w:val="21"/>
              </w:rPr>
            </w:pPr>
            <w:r>
              <w:rPr>
                <w:rFonts w:hint="eastAsia"/>
                <w:szCs w:val="21"/>
              </w:rPr>
              <w:t>1</w:t>
            </w:r>
            <w:r>
              <w:rPr>
                <w:szCs w:val="21"/>
              </w:rPr>
              <w:t>6.</w:t>
            </w:r>
            <w:r>
              <w:rPr>
                <w:rFonts w:hint="eastAsia"/>
                <w:szCs w:val="21"/>
              </w:rPr>
              <w:t>投影影片融合带无明显色差；</w:t>
            </w:r>
          </w:p>
          <w:p>
            <w:pPr>
              <w:snapToGrid w:val="0"/>
              <w:spacing w:line="360" w:lineRule="auto"/>
              <w:rPr>
                <w:szCs w:val="21"/>
              </w:rPr>
            </w:pPr>
            <w:r>
              <w:rPr>
                <w:rFonts w:hint="eastAsia"/>
                <w:szCs w:val="21"/>
              </w:rPr>
              <w:t>1</w:t>
            </w:r>
            <w:r>
              <w:rPr>
                <w:szCs w:val="21"/>
              </w:rPr>
              <w:t>7.</w:t>
            </w:r>
            <w:r>
              <w:rPr>
                <w:rFonts w:hint="eastAsia"/>
                <w:szCs w:val="21"/>
              </w:rPr>
              <w:t>互动展项观感质量应符合设计要求，安装牢固，调节灵活，操作方便，表面洁净，拼缝应严密吻合，不得有凸起、凹陷、划痕和损坏；</w:t>
            </w:r>
          </w:p>
          <w:p>
            <w:pPr>
              <w:snapToGrid w:val="0"/>
              <w:spacing w:line="360" w:lineRule="auto"/>
              <w:rPr>
                <w:szCs w:val="21"/>
              </w:rPr>
            </w:pPr>
            <w:r>
              <w:rPr>
                <w:rFonts w:hint="eastAsia"/>
                <w:szCs w:val="21"/>
              </w:rPr>
              <w:t>1</w:t>
            </w:r>
            <w:r>
              <w:rPr>
                <w:szCs w:val="21"/>
              </w:rPr>
              <w:t>8.</w:t>
            </w:r>
            <w:r>
              <w:rPr>
                <w:rFonts w:hint="eastAsia"/>
                <w:szCs w:val="21"/>
              </w:rPr>
              <w:t>弱电机房布线整齐、合理，有清晰标签；</w:t>
            </w:r>
          </w:p>
          <w:p>
            <w:pPr>
              <w:snapToGrid w:val="0"/>
              <w:spacing w:line="360" w:lineRule="auto"/>
              <w:rPr>
                <w:szCs w:val="21"/>
              </w:rPr>
            </w:pPr>
            <w:r>
              <w:rPr>
                <w:rFonts w:hint="eastAsia"/>
                <w:szCs w:val="21"/>
              </w:rPr>
              <w:t>1</w:t>
            </w:r>
            <w:r>
              <w:rPr>
                <w:szCs w:val="21"/>
              </w:rPr>
              <w:t>9.</w:t>
            </w:r>
            <w:r>
              <w:rPr>
                <w:rFonts w:hint="eastAsia"/>
                <w:szCs w:val="21"/>
              </w:rPr>
              <w:t>斜坡地面的坡度应符合设计规范要求，行走安全；</w:t>
            </w:r>
          </w:p>
          <w:p>
            <w:pPr>
              <w:snapToGrid w:val="0"/>
              <w:spacing w:line="360" w:lineRule="auto"/>
              <w:rPr>
                <w:szCs w:val="21"/>
              </w:rPr>
            </w:pPr>
            <w:r>
              <w:rPr>
                <w:rFonts w:hint="eastAsia"/>
                <w:szCs w:val="21"/>
              </w:rPr>
              <w:t>2</w:t>
            </w:r>
            <w:r>
              <w:rPr>
                <w:szCs w:val="21"/>
              </w:rPr>
              <w:t>0.</w:t>
            </w:r>
            <w:r>
              <w:rPr>
                <w:rFonts w:hint="eastAsia"/>
                <w:szCs w:val="21"/>
              </w:rPr>
              <w:t>导览导视系统安装牢固，安装位置符合设计要求；</w:t>
            </w:r>
          </w:p>
          <w:p>
            <w:pPr>
              <w:snapToGrid w:val="0"/>
              <w:spacing w:line="360" w:lineRule="auto"/>
              <w:rPr>
                <w:szCs w:val="21"/>
              </w:rPr>
            </w:pPr>
            <w:r>
              <w:rPr>
                <w:rFonts w:hint="eastAsia"/>
                <w:szCs w:val="21"/>
              </w:rPr>
              <w:t>2</w:t>
            </w:r>
            <w:r>
              <w:rPr>
                <w:szCs w:val="21"/>
              </w:rPr>
              <w:t>1.</w:t>
            </w:r>
            <w:r>
              <w:rPr>
                <w:rFonts w:hint="eastAsia"/>
                <w:szCs w:val="21"/>
              </w:rPr>
              <w:t>设备、展项、灯光安装牢固，超过10kg的吊挂物应做过载试验（不符合扣3-10分）；</w:t>
            </w:r>
          </w:p>
          <w:p>
            <w:pPr>
              <w:snapToGrid w:val="0"/>
              <w:spacing w:line="360" w:lineRule="auto"/>
              <w:rPr>
                <w:szCs w:val="21"/>
              </w:rPr>
            </w:pPr>
            <w:r>
              <w:rPr>
                <w:rFonts w:hint="eastAsia"/>
                <w:szCs w:val="21"/>
              </w:rPr>
              <w:t>2</w:t>
            </w:r>
            <w:r>
              <w:rPr>
                <w:szCs w:val="21"/>
              </w:rPr>
              <w:t>2.</w:t>
            </w:r>
            <w:r>
              <w:rPr>
                <w:rFonts w:hint="eastAsia"/>
                <w:szCs w:val="21"/>
              </w:rPr>
              <w:t>无吊顶展区设备及管线应排布整齐。</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kern w:val="1"/>
                <w:szCs w:val="21"/>
              </w:rPr>
            </w:pPr>
            <w:r>
              <w:rPr>
                <w:rFonts w:hint="eastAsia"/>
                <w:kern w:val="1"/>
                <w:szCs w:val="21"/>
              </w:rPr>
              <w:t>1</w:t>
            </w:r>
            <w:r>
              <w:rPr>
                <w:kern w:val="1"/>
                <w:szCs w:val="21"/>
              </w:rPr>
              <w:t>.</w:t>
            </w:r>
            <w:r>
              <w:rPr>
                <w:rFonts w:hint="eastAsia"/>
                <w:kern w:val="1"/>
                <w:szCs w:val="21"/>
              </w:rPr>
              <w:t>装饰装修部分复查按公共建筑装饰类执行；</w:t>
            </w:r>
          </w:p>
          <w:p>
            <w:pPr>
              <w:adjustRightInd w:val="0"/>
              <w:snapToGrid w:val="0"/>
              <w:spacing w:line="324" w:lineRule="auto"/>
              <w:rPr>
                <w:kern w:val="1"/>
                <w:szCs w:val="21"/>
              </w:rPr>
            </w:pPr>
            <w:r>
              <w:rPr>
                <w:kern w:val="1"/>
                <w:szCs w:val="21"/>
              </w:rPr>
              <w:t>2.</w:t>
            </w:r>
            <w:r>
              <w:rPr>
                <w:rFonts w:hint="eastAsia"/>
                <w:kern w:val="1"/>
                <w:szCs w:val="21"/>
              </w:rPr>
              <w:t>重型雕塑等安装不符合结构承重要求的扣3-10分；</w:t>
            </w:r>
          </w:p>
          <w:p>
            <w:pPr>
              <w:adjustRightInd w:val="0"/>
              <w:snapToGrid w:val="0"/>
              <w:spacing w:line="324" w:lineRule="auto"/>
              <w:rPr>
                <w:kern w:val="1"/>
                <w:szCs w:val="21"/>
              </w:rPr>
            </w:pPr>
            <w:r>
              <w:rPr>
                <w:rFonts w:hint="eastAsia"/>
                <w:kern w:val="1"/>
                <w:szCs w:val="21"/>
              </w:rPr>
              <w:t>3</w:t>
            </w:r>
            <w:r>
              <w:rPr>
                <w:kern w:val="1"/>
                <w:szCs w:val="21"/>
              </w:rPr>
              <w:t>.</w:t>
            </w:r>
            <w:r>
              <w:rPr>
                <w:rFonts w:hint="eastAsia"/>
                <w:kern w:val="1"/>
                <w:szCs w:val="21"/>
              </w:rPr>
              <w:t>展板、展柜、展台等使用的材料不符合防火设计规范要求的扣3-10分；</w:t>
            </w:r>
          </w:p>
          <w:p>
            <w:pPr>
              <w:adjustRightInd w:val="0"/>
              <w:snapToGrid w:val="0"/>
              <w:spacing w:line="324" w:lineRule="auto"/>
              <w:rPr>
                <w:kern w:val="1"/>
                <w:szCs w:val="21"/>
              </w:rPr>
            </w:pPr>
            <w:r>
              <w:rPr>
                <w:rFonts w:hint="eastAsia"/>
                <w:kern w:val="1"/>
                <w:szCs w:val="21"/>
              </w:rPr>
              <w:t>4</w:t>
            </w:r>
            <w:r>
              <w:rPr>
                <w:kern w:val="1"/>
                <w:szCs w:val="21"/>
              </w:rPr>
              <w:t>.</w:t>
            </w:r>
            <w:r>
              <w:rPr>
                <w:rFonts w:hint="eastAsia"/>
                <w:kern w:val="1"/>
                <w:szCs w:val="21"/>
              </w:rPr>
              <w:t>设备、展项、灯具等超过10kg的吊挂物未做过载试验的扣3-10分；</w:t>
            </w:r>
          </w:p>
          <w:p>
            <w:pPr>
              <w:adjustRightInd w:val="0"/>
              <w:snapToGrid w:val="0"/>
              <w:spacing w:line="324" w:lineRule="auto"/>
              <w:rPr>
                <w:kern w:val="1"/>
                <w:szCs w:val="21"/>
              </w:rPr>
            </w:pPr>
            <w:r>
              <w:rPr>
                <w:rFonts w:hint="eastAsia"/>
                <w:kern w:val="1"/>
                <w:szCs w:val="21"/>
              </w:rPr>
              <w:t>5</w:t>
            </w:r>
            <w:r>
              <w:rPr>
                <w:kern w:val="1"/>
                <w:szCs w:val="21"/>
              </w:rPr>
              <w:t>.</w:t>
            </w:r>
            <w:r>
              <w:rPr>
                <w:rFonts w:hint="eastAsia"/>
                <w:kern w:val="1"/>
                <w:szCs w:val="21"/>
              </w:rPr>
              <w:t>文物展柜恒温恒湿设备密封性不符合设计要求扣3-5分。</w:t>
            </w:r>
          </w:p>
          <w:p>
            <w:pPr>
              <w:adjustRightInd w:val="0"/>
              <w:snapToGrid w:val="0"/>
              <w:spacing w:line="324" w:lineRule="auto"/>
              <w:rPr>
                <w:kern w:val="1"/>
                <w:szCs w:val="21"/>
              </w:rPr>
            </w:pPr>
            <w:r>
              <w:rPr>
                <w:rFonts w:hint="eastAsia"/>
                <w:kern w:val="1"/>
                <w:szCs w:val="21"/>
              </w:rPr>
              <w:t>6多媒体设备、影片不稳定或有黑屏等现象扣3-5分。</w:t>
            </w:r>
          </w:p>
          <w:p>
            <w:pPr>
              <w:adjustRightInd w:val="0"/>
              <w:snapToGrid w:val="0"/>
              <w:spacing w:line="324" w:lineRule="auto"/>
              <w:rPr>
                <w:kern w:val="1"/>
                <w:szCs w:val="21"/>
              </w:rPr>
            </w:pPr>
            <w:r>
              <w:rPr>
                <w:kern w:val="1"/>
                <w:szCs w:val="21"/>
              </w:rPr>
              <w:t>7.</w:t>
            </w:r>
            <w:r>
              <w:rPr>
                <w:rFonts w:hint="eastAsia"/>
                <w:kern w:val="1"/>
                <w:szCs w:val="21"/>
              </w:rPr>
              <w:t>其他不符合的扣</w:t>
            </w:r>
            <w:r>
              <w:rPr>
                <w:kern w:val="1"/>
                <w:szCs w:val="21"/>
              </w:rPr>
              <w:t>0.5</w:t>
            </w:r>
            <w:r>
              <w:rPr>
                <w:rFonts w:hint="eastAsia"/>
                <w:kern w:val="1"/>
                <w:szCs w:val="21"/>
              </w:rPr>
              <w:t>-</w:t>
            </w:r>
            <w:r>
              <w:rPr>
                <w:kern w:val="1"/>
                <w:szCs w:val="21"/>
              </w:rPr>
              <w:t>2</w:t>
            </w:r>
            <w:r>
              <w:rPr>
                <w:rFonts w:hint="eastAsia"/>
                <w:kern w:val="1"/>
                <w:szCs w:val="21"/>
              </w:rPr>
              <w:t>分。</w:t>
            </w:r>
          </w:p>
        </w:tc>
        <w:tc>
          <w:tcPr>
            <w:tcW w:w="1701" w:type="dxa"/>
            <w:tcBorders>
              <w:left w:val="single" w:color="auto" w:sz="4" w:space="0"/>
              <w:right w:val="single" w:color="auto" w:sz="4" w:space="0"/>
            </w:tcBorders>
            <w:noWrap w:val="0"/>
            <w:vAlign w:val="center"/>
          </w:tcPr>
          <w:p>
            <w:pPr>
              <w:pStyle w:val="5"/>
              <w:snapToGrid w:val="0"/>
              <w:spacing w:line="288" w:lineRule="auto"/>
              <w:ind w:firstLine="0" w:firstLineChars="0"/>
              <w:jc w:val="lef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涉及安装安全的内容为应查项。</w:t>
            </w:r>
          </w:p>
          <w:p>
            <w:pPr>
              <w:pStyle w:val="5"/>
              <w:snapToGrid w:val="0"/>
              <w:spacing w:line="288" w:lineRule="auto"/>
              <w:ind w:firstLine="0" w:firstLineChars="0"/>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涉及公共场地、场景安全的内容为应查项。</w:t>
            </w:r>
          </w:p>
          <w:p>
            <w:pPr>
              <w:pStyle w:val="5"/>
              <w:snapToGrid w:val="0"/>
              <w:spacing w:line="288" w:lineRule="auto"/>
              <w:ind w:firstLine="0" w:firstLineChars="0"/>
              <w:jc w:val="left"/>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涉及用电、防火安全的内容为应查项。</w:t>
            </w: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60分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宋体" w:hAnsi="宋体"/>
                <w:szCs w:val="21"/>
              </w:rPr>
            </w:pPr>
            <w:r>
              <w:rPr>
                <w:rFonts w:hint="eastAsia" w:ascii="宋体" w:hAnsi="宋体"/>
                <w:szCs w:val="21"/>
              </w:rPr>
              <w:t>查：工程实体质量，并核对图纸、质量管理与技术资料是否与工程实体相符。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567"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3</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氛围呈现</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w:t>
            </w:r>
            <w:r>
              <w:rPr>
                <w:szCs w:val="21"/>
              </w:rPr>
              <w:t>.</w:t>
            </w:r>
            <w:r>
              <w:rPr>
                <w:rFonts w:hint="eastAsia"/>
                <w:szCs w:val="21"/>
              </w:rPr>
              <w:t>交互性展项体验感受良好；</w:t>
            </w:r>
          </w:p>
          <w:p>
            <w:pPr>
              <w:pStyle w:val="5"/>
              <w:snapToGrid w:val="0"/>
              <w:spacing w:line="360" w:lineRule="auto"/>
              <w:ind w:firstLine="0" w:firstLineChars="0"/>
              <w:rPr>
                <w:rFonts w:ascii="黑体" w:hAnsi="黑体" w:eastAsia="黑体"/>
                <w:szCs w:val="21"/>
              </w:rPr>
            </w:pPr>
            <w:r>
              <w:rPr>
                <w:rFonts w:hint="eastAsia"/>
                <w:szCs w:val="21"/>
              </w:rPr>
              <w:t>2</w:t>
            </w:r>
            <w:r>
              <w:rPr>
                <w:szCs w:val="21"/>
              </w:rPr>
              <w:t>.</w:t>
            </w:r>
            <w:r>
              <w:rPr>
                <w:rFonts w:hint="eastAsia"/>
                <w:szCs w:val="21"/>
              </w:rPr>
              <w:t>展陈区域整体艺术氛围呈现良好。</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276"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交互体验欠佳（扣1-2分）；</w:t>
            </w:r>
          </w:p>
          <w:p>
            <w:pPr>
              <w:pStyle w:val="5"/>
              <w:snapToGrid w:val="0"/>
              <w:spacing w:line="276"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整体艺术氛围欠佳（扣1-3分）。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567"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w:t>
            </w:r>
            <w:r>
              <w:rPr>
                <w:szCs w:val="21"/>
              </w:rPr>
              <w:t>.</w:t>
            </w:r>
            <w:r>
              <w:rPr>
                <w:rFonts w:hint="eastAsia"/>
                <w:szCs w:val="21"/>
              </w:rPr>
              <w:t>创新技术；</w:t>
            </w:r>
          </w:p>
          <w:p>
            <w:pPr>
              <w:pStyle w:val="5"/>
              <w:snapToGrid w:val="0"/>
              <w:spacing w:line="360" w:lineRule="auto"/>
              <w:ind w:firstLine="0" w:firstLineChars="0"/>
              <w:rPr>
                <w:szCs w:val="21"/>
              </w:rPr>
            </w:pPr>
            <w:r>
              <w:rPr>
                <w:rFonts w:hint="eastAsia"/>
                <w:szCs w:val="21"/>
              </w:rPr>
              <w:t>2</w:t>
            </w:r>
            <w:r>
              <w:rPr>
                <w:szCs w:val="21"/>
              </w:rPr>
              <w:t>.</w:t>
            </w:r>
            <w:r>
              <w:rPr>
                <w:rFonts w:hint="eastAsia"/>
                <w:szCs w:val="21"/>
              </w:rPr>
              <w:t>采用了新技术、新工艺、新材料、新设备；</w:t>
            </w:r>
          </w:p>
          <w:p>
            <w:pPr>
              <w:pStyle w:val="5"/>
              <w:snapToGrid w:val="0"/>
              <w:spacing w:line="360" w:lineRule="auto"/>
              <w:ind w:firstLine="0" w:firstLineChars="0"/>
              <w:rPr>
                <w:szCs w:val="21"/>
              </w:rPr>
            </w:pPr>
            <w:r>
              <w:rPr>
                <w:rFonts w:hint="eastAsia"/>
                <w:szCs w:val="21"/>
              </w:rPr>
              <w:t>3</w:t>
            </w:r>
            <w:r>
              <w:rPr>
                <w:szCs w:val="21"/>
              </w:rPr>
              <w:t>.</w:t>
            </w:r>
            <w:r>
              <w:rPr>
                <w:rFonts w:hint="eastAsia"/>
                <w:szCs w:val="21"/>
              </w:rPr>
              <w:t>获得了与申报工程相关的发明专利、实用新型专利、省部级或以上工艺工法等；</w:t>
            </w:r>
          </w:p>
          <w:p>
            <w:pPr>
              <w:pStyle w:val="5"/>
              <w:snapToGrid w:val="0"/>
              <w:spacing w:line="360" w:lineRule="auto"/>
              <w:ind w:firstLine="0" w:firstLineChars="0"/>
              <w:rPr>
                <w:rFonts w:ascii="黑体" w:hAnsi="黑体" w:eastAsia="黑体"/>
                <w:szCs w:val="21"/>
              </w:rPr>
            </w:pPr>
            <w:r>
              <w:rPr>
                <w:rFonts w:hint="eastAsia"/>
                <w:szCs w:val="21"/>
              </w:rPr>
              <w:t>4</w:t>
            </w:r>
            <w:r>
              <w:rPr>
                <w:szCs w:val="21"/>
              </w:rPr>
              <w:t>.</w:t>
            </w:r>
            <w:r>
              <w:rPr>
                <w:rFonts w:hint="eastAsia"/>
                <w:szCs w:val="21"/>
              </w:rPr>
              <w:t>本工程已获得建筑装饰行业科学技术奖。</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r>
              <w:rPr>
                <w:rFonts w:hint="eastAsia" w:ascii="宋体" w:hAnsi="宋体" w:cs="宋体"/>
                <w:szCs w:val="21"/>
              </w:rPr>
              <w:t>没有新技术应用内容的，扣</w:t>
            </w:r>
            <w:r>
              <w:rPr>
                <w:rFonts w:ascii="宋体" w:hAnsi="宋体" w:cs="宋体"/>
                <w:szCs w:val="21"/>
              </w:rPr>
              <w:t>1</w:t>
            </w:r>
            <w:r>
              <w:rPr>
                <w:rFonts w:hint="eastAsia" w:ascii="宋体" w:hAnsi="宋体" w:cs="宋体"/>
                <w:szCs w:val="21"/>
              </w:rPr>
              <w:t>-</w:t>
            </w:r>
            <w:r>
              <w:rPr>
                <w:rFonts w:ascii="宋体" w:hAnsi="宋体" w:cs="宋体"/>
                <w:szCs w:val="21"/>
              </w:rPr>
              <w:t>3</w:t>
            </w:r>
            <w:r>
              <w:rPr>
                <w:rFonts w:hint="eastAsia" w:ascii="宋体" w:hAnsi="宋体" w:cs="宋体"/>
                <w:szCs w:val="21"/>
              </w:rPr>
              <w:t>分。</w:t>
            </w:r>
          </w:p>
        </w:tc>
        <w:tc>
          <w:tcPr>
            <w:tcW w:w="1701" w:type="dxa"/>
            <w:tcBorders>
              <w:left w:val="single" w:color="auto" w:sz="4" w:space="0"/>
              <w:right w:val="single" w:color="auto" w:sz="4" w:space="0"/>
            </w:tcBorders>
            <w:noWrap w:val="0"/>
            <w:vAlign w:val="center"/>
          </w:tcPr>
          <w:p>
            <w:pPr>
              <w:snapToGrid w:val="0"/>
              <w:spacing w:line="288" w:lineRule="auto"/>
              <w:jc w:val="left"/>
              <w:rPr>
                <w:rFonts w:ascii="宋体" w:hAnsi="宋体"/>
                <w:szCs w:val="21"/>
              </w:rPr>
            </w:pPr>
          </w:p>
        </w:tc>
        <w:tc>
          <w:tcPr>
            <w:tcW w:w="851"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6" w:hRule="atLeast"/>
        </w:trPr>
        <w:tc>
          <w:tcPr>
            <w:tcW w:w="567" w:type="dxa"/>
            <w:tcBorders>
              <w:left w:val="single" w:color="auto" w:sz="4" w:space="0"/>
              <w:right w:val="single" w:color="auto" w:sz="4" w:space="0"/>
            </w:tcBorders>
            <w:noWrap w:val="0"/>
            <w:vAlign w:val="center"/>
          </w:tcPr>
          <w:p>
            <w:pPr>
              <w:snapToGrid w:val="0"/>
              <w:spacing w:line="288"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noWrap w:val="0"/>
            <w:vAlign w:val="center"/>
          </w:tcPr>
          <w:p>
            <w:pPr>
              <w:snapToGrid w:val="0"/>
              <w:spacing w:line="240" w:lineRule="exact"/>
              <w:jc w:val="center"/>
              <w:rPr>
                <w:rFonts w:ascii="宋体" w:hAnsi="宋体"/>
                <w:szCs w:val="21"/>
              </w:rPr>
            </w:pPr>
            <w:r>
              <w:rPr>
                <w:rFonts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w:t>
            </w:r>
            <w:r>
              <w:rPr>
                <w:szCs w:val="21"/>
              </w:rPr>
              <w:t>.</w:t>
            </w:r>
            <w:r>
              <w:rPr>
                <w:rFonts w:hint="eastAsia"/>
                <w:szCs w:val="21"/>
              </w:rPr>
              <w:t>组织工作准备充分,人员到位(项目经理或执行经理、技术负责人或资料员等相关人员应到场)，汇报内容重点突出、简单明了；</w:t>
            </w:r>
          </w:p>
          <w:p>
            <w:pPr>
              <w:pStyle w:val="5"/>
              <w:snapToGrid w:val="0"/>
              <w:spacing w:line="360" w:lineRule="auto"/>
              <w:ind w:firstLine="0" w:firstLineChars="0"/>
              <w:rPr>
                <w:szCs w:val="21"/>
              </w:rPr>
            </w:pPr>
            <w:r>
              <w:rPr>
                <w:szCs w:val="21"/>
              </w:rPr>
              <w:t>2.</w:t>
            </w:r>
            <w:r>
              <w:rPr>
                <w:rFonts w:hint="eastAsia"/>
                <w:szCs w:val="21"/>
              </w:rPr>
              <w:t>资料准备充分有序，易于查找；</w:t>
            </w:r>
          </w:p>
          <w:p>
            <w:pPr>
              <w:pStyle w:val="5"/>
              <w:snapToGrid w:val="0"/>
              <w:spacing w:line="360" w:lineRule="auto"/>
              <w:ind w:firstLine="0" w:firstLineChars="0"/>
              <w:rPr>
                <w:szCs w:val="21"/>
              </w:rPr>
            </w:pPr>
            <w:r>
              <w:rPr>
                <w:szCs w:val="21"/>
              </w:rPr>
              <w:t>3.</w:t>
            </w:r>
            <w:r>
              <w:rPr>
                <w:rFonts w:hint="eastAsia"/>
                <w:szCs w:val="21"/>
              </w:rPr>
              <w:t>用户沟通意见；</w:t>
            </w:r>
          </w:p>
          <w:p>
            <w:pPr>
              <w:pStyle w:val="5"/>
              <w:snapToGrid w:val="0"/>
              <w:spacing w:line="360" w:lineRule="auto"/>
              <w:ind w:firstLine="0" w:firstLineChars="0"/>
              <w:rPr>
                <w:szCs w:val="21"/>
              </w:rPr>
            </w:pPr>
            <w:r>
              <w:rPr>
                <w:rFonts w:hint="eastAsia"/>
                <w:szCs w:val="21"/>
              </w:rPr>
              <w:t>4</w:t>
            </w:r>
            <w:r>
              <w:rPr>
                <w:szCs w:val="21"/>
              </w:rPr>
              <w:t>.</w:t>
            </w:r>
            <w:r>
              <w:rPr>
                <w:rFonts w:hint="eastAsia"/>
                <w:szCs w:val="21"/>
              </w:rPr>
              <w:t>项目实体检查顺畅不受阻。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w:t>
            </w:r>
            <w:r>
              <w:rPr>
                <w:szCs w:val="21"/>
              </w:rPr>
              <w:t>.</w:t>
            </w:r>
            <w:r>
              <w:rPr>
                <w:rFonts w:hint="eastAsia"/>
                <w:szCs w:val="21"/>
              </w:rPr>
              <w:t>项目施工主要人员均未到场(扣1-3分)</w:t>
            </w:r>
          </w:p>
          <w:p>
            <w:pPr>
              <w:pStyle w:val="5"/>
              <w:snapToGrid w:val="0"/>
              <w:spacing w:line="360" w:lineRule="auto"/>
              <w:ind w:firstLine="0" w:firstLineChars="0"/>
              <w:rPr>
                <w:szCs w:val="21"/>
              </w:rPr>
            </w:pPr>
            <w:r>
              <w:rPr>
                <w:rFonts w:hint="eastAsia"/>
                <w:szCs w:val="21"/>
              </w:rPr>
              <w:t>2</w:t>
            </w:r>
            <w:r>
              <w:rPr>
                <w:szCs w:val="21"/>
              </w:rPr>
              <w:t>.</w:t>
            </w:r>
            <w:r>
              <w:rPr>
                <w:rFonts w:hint="eastAsia"/>
                <w:szCs w:val="21"/>
              </w:rPr>
              <w:t>资料准备无序不齐全(扣1-2分)；</w:t>
            </w:r>
          </w:p>
          <w:p>
            <w:pPr>
              <w:pStyle w:val="5"/>
              <w:snapToGrid w:val="0"/>
              <w:spacing w:line="360" w:lineRule="auto"/>
              <w:ind w:firstLine="0" w:firstLineChars="0"/>
              <w:rPr>
                <w:szCs w:val="21"/>
              </w:rPr>
            </w:pPr>
            <w:r>
              <w:rPr>
                <w:rFonts w:hint="eastAsia"/>
                <w:szCs w:val="21"/>
              </w:rPr>
              <w:t>3</w:t>
            </w:r>
            <w:r>
              <w:rPr>
                <w:szCs w:val="21"/>
              </w:rPr>
              <w:t>.</w:t>
            </w:r>
            <w:r>
              <w:rPr>
                <w:rFonts w:hint="eastAsia"/>
                <w:szCs w:val="21"/>
              </w:rPr>
              <w:t>总体印象不佳(扣1-5分)。</w:t>
            </w:r>
          </w:p>
          <w:p>
            <w:pPr>
              <w:pStyle w:val="5"/>
              <w:snapToGrid w:val="0"/>
              <w:spacing w:line="360" w:lineRule="auto"/>
              <w:ind w:firstLine="0" w:firstLineChars="0"/>
              <w:rPr>
                <w:szCs w:val="21"/>
              </w:rPr>
            </w:pPr>
            <w:r>
              <w:rPr>
                <w:rFonts w:hint="eastAsia"/>
                <w:szCs w:val="21"/>
              </w:rPr>
              <w:t>4</w:t>
            </w:r>
            <w:r>
              <w:rPr>
                <w:szCs w:val="21"/>
              </w:rPr>
              <w:t>.</w:t>
            </w:r>
            <w:r>
              <w:rPr>
                <w:rFonts w:hint="eastAsia"/>
                <w:szCs w:val="21"/>
              </w:rPr>
              <w:t>其它不规范、不到位情况(每项扣0.5-1分)。</w:t>
            </w:r>
          </w:p>
        </w:tc>
        <w:tc>
          <w:tcPr>
            <w:tcW w:w="1701" w:type="dxa"/>
            <w:tcBorders>
              <w:left w:val="single" w:color="auto" w:sz="4" w:space="0"/>
              <w:right w:val="single" w:color="auto" w:sz="4" w:space="0"/>
            </w:tcBorders>
            <w:noWrap w:val="0"/>
            <w:vAlign w:val="center"/>
          </w:tcPr>
          <w:p>
            <w:pPr>
              <w:pStyle w:val="5"/>
              <w:snapToGrid w:val="0"/>
              <w:spacing w:line="360" w:lineRule="auto"/>
              <w:ind w:firstLine="0" w:firstLineChars="0"/>
              <w:rPr>
                <w:szCs w:val="21"/>
              </w:rPr>
            </w:pPr>
          </w:p>
        </w:tc>
        <w:tc>
          <w:tcPr>
            <w:tcW w:w="851" w:type="dxa"/>
            <w:tcBorders>
              <w:left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10分</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
              <w:snapToGrid w:val="0"/>
              <w:spacing w:line="360" w:lineRule="auto"/>
              <w:ind w:firstLine="0" w:firstLineChars="0"/>
              <w:rPr>
                <w:szCs w:val="21"/>
              </w:rPr>
            </w:pPr>
            <w:r>
              <w:rPr>
                <w:rFonts w:hint="eastAsia"/>
                <w:szCs w:val="21"/>
              </w:rPr>
              <w:t>查：</w:t>
            </w:r>
          </w:p>
          <w:p>
            <w:pPr>
              <w:pStyle w:val="5"/>
              <w:snapToGrid w:val="0"/>
              <w:spacing w:line="360" w:lineRule="auto"/>
              <w:ind w:firstLine="0" w:firstLineChars="0"/>
              <w:rPr>
                <w:szCs w:val="21"/>
              </w:rPr>
            </w:pPr>
            <w:r>
              <w:rPr>
                <w:rFonts w:hint="eastAsia"/>
                <w:szCs w:val="21"/>
              </w:rPr>
              <w:t>1</w:t>
            </w:r>
            <w:r>
              <w:rPr>
                <w:szCs w:val="21"/>
              </w:rPr>
              <w:t>.</w:t>
            </w:r>
            <w:r>
              <w:rPr>
                <w:rFonts w:hint="eastAsia"/>
                <w:szCs w:val="21"/>
              </w:rPr>
              <w:t>组织准备情况等；</w:t>
            </w:r>
          </w:p>
          <w:p>
            <w:pPr>
              <w:pStyle w:val="5"/>
              <w:snapToGrid w:val="0"/>
              <w:spacing w:line="360" w:lineRule="auto"/>
              <w:ind w:firstLine="0" w:firstLineChars="0"/>
              <w:rPr>
                <w:szCs w:val="21"/>
              </w:rPr>
            </w:pPr>
            <w:r>
              <w:rPr>
                <w:szCs w:val="21"/>
              </w:rPr>
              <w:t>2.</w:t>
            </w:r>
            <w:r>
              <w:rPr>
                <w:rFonts w:hint="eastAsia"/>
                <w:szCs w:val="21"/>
              </w:rPr>
              <w:t>PPT(项目概况、施工范围、重点难点亮点、施工过程中情况图片等,汇报时间10分钟内)；</w:t>
            </w:r>
          </w:p>
          <w:p>
            <w:pPr>
              <w:pStyle w:val="5"/>
              <w:snapToGrid w:val="0"/>
              <w:spacing w:line="360" w:lineRule="auto"/>
              <w:ind w:firstLine="0" w:firstLineChars="0"/>
              <w:rPr>
                <w:szCs w:val="21"/>
              </w:rPr>
            </w:pPr>
            <w:r>
              <w:rPr>
                <w:szCs w:val="21"/>
              </w:rPr>
              <w:t>3.</w:t>
            </w:r>
            <w:r>
              <w:rPr>
                <w:rFonts w:hint="eastAsia"/>
                <w:szCs w:val="21"/>
              </w:rPr>
              <w:t>用户意见；</w:t>
            </w:r>
          </w:p>
          <w:p>
            <w:pPr>
              <w:pStyle w:val="5"/>
              <w:snapToGrid w:val="0"/>
              <w:spacing w:line="360" w:lineRule="auto"/>
              <w:ind w:firstLine="0" w:firstLineChars="0"/>
              <w:rPr>
                <w:szCs w:val="21"/>
              </w:rPr>
            </w:pPr>
            <w:r>
              <w:rPr>
                <w:rFonts w:hint="eastAsia"/>
                <w:szCs w:val="21"/>
              </w:rPr>
              <w:t>4</w:t>
            </w:r>
            <w:r>
              <w:rPr>
                <w:szCs w:val="21"/>
              </w:rPr>
              <w:t>.</w:t>
            </w:r>
            <w:r>
              <w:rPr>
                <w:rFonts w:hint="eastAsia"/>
                <w:szCs w:val="21"/>
              </w:rPr>
              <w:t>人员、资料、过程安排准备情况。</w:t>
            </w:r>
          </w:p>
        </w:tc>
      </w:tr>
    </w:tbl>
    <w:p>
      <w:pPr>
        <w:rPr>
          <w:rFonts w:hint="eastAsia"/>
        </w:rPr>
        <w:sectPr>
          <w:pgSz w:w="16838" w:h="11906" w:orient="landscape"/>
          <w:pgMar w:top="1800" w:right="1440" w:bottom="1800" w:left="1440" w:header="851" w:footer="992" w:gutter="0"/>
          <w:pgNumType w:fmt="numberInDash"/>
          <w:cols w:space="720" w:num="1"/>
          <w:docGrid w:type="lines" w:linePitch="312" w:charSpace="0"/>
        </w:sectPr>
      </w:pPr>
      <w:bookmarkStart w:id="9" w:name="_GoBack"/>
      <w:bookmarkEnd w:id="9"/>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FB3F3"/>
    <w:multiLevelType w:val="singleLevel"/>
    <w:tmpl w:val="3DEFB3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0A7E44FD"/>
    <w:rsid w:val="0A7E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2024-03-12T10:53:00Z</dcterms:created>
  <dc:creator>李艳</dc:creator>
  <cp:lastModifiedBy>李艳</cp:lastModifiedBy>
  <dcterms:modified xsi:type="dcterms:W3CDTF">2024-03-12T10:53:49Z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47BEC17DCF144A27842A704FDF2BDE06_11</vt:lpwstr>
  </property>
</Properties>
</file>