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黑体" w:hAnsi="黑体" w:eastAsia="黑体" w:cs="黑体"/>
          <w:spacing w:val="-4"/>
          <w:sz w:val="32"/>
          <w:szCs w:val="32"/>
        </w:rPr>
      </w:pPr>
      <w:r>
        <w:rPr>
          <w:rFonts w:hint="eastAsia" w:ascii="黑体" w:hAnsi="黑体" w:eastAsia="黑体" w:cs="黑体"/>
          <w:spacing w:val="-4"/>
          <w:sz w:val="32"/>
          <w:szCs w:val="32"/>
        </w:rPr>
        <w:t>附件</w:t>
      </w:r>
      <w:r>
        <w:rPr>
          <w:rFonts w:ascii="黑体" w:hAnsi="黑体" w:eastAsia="黑体" w:cs="黑体"/>
          <w:spacing w:val="-4"/>
          <w:sz w:val="32"/>
          <w:szCs w:val="32"/>
        </w:rPr>
        <w:t>7</w:t>
      </w:r>
    </w:p>
    <w:p>
      <w:pPr>
        <w:keepNext w:val="0"/>
        <w:keepLines w:val="0"/>
        <w:pageBreakBefore w:val="0"/>
        <w:widowControl w:val="0"/>
        <w:kinsoku/>
        <w:wordWrap/>
        <w:overflowPunct/>
        <w:topLinePunct w:val="0"/>
        <w:autoSpaceDE/>
        <w:autoSpaceDN/>
        <w:bidi w:val="0"/>
        <w:adjustRightInd w:val="0"/>
        <w:snapToGrid/>
        <w:ind w:right="0"/>
        <w:jc w:val="center"/>
        <w:textAlignment w:val="auto"/>
        <w:rPr>
          <w:rFonts w:hint="eastAsia" w:ascii="方正小标宋简体" w:hAnsi="方正小标宋简体" w:eastAsia="方正小标宋简体" w:cs="方正小标宋简体"/>
          <w:snapToGrid w:val="0"/>
          <w:spacing w:val="0"/>
          <w:kern w:val="0"/>
          <w:sz w:val="36"/>
          <w:szCs w:val="36"/>
        </w:rPr>
      </w:pPr>
      <w:r>
        <w:rPr>
          <w:rFonts w:hint="eastAsia" w:ascii="方正小标宋简体" w:hAnsi="方正小标宋简体" w:eastAsia="方正小标宋简体" w:cs="方正小标宋简体"/>
          <w:snapToGrid w:val="0"/>
          <w:spacing w:val="0"/>
          <w:kern w:val="0"/>
          <w:sz w:val="36"/>
          <w:szCs w:val="36"/>
        </w:rPr>
        <w:t>中国建筑工程装饰奖工程复查实施细则</w:t>
      </w:r>
    </w:p>
    <w:p>
      <w:pPr>
        <w:snapToGrid w:val="0"/>
        <w:spacing w:line="360" w:lineRule="auto"/>
        <w:jc w:val="center"/>
        <w:rPr>
          <w:rFonts w:ascii="宋体" w:hAnsi="宋体"/>
          <w:spacing w:val="-4"/>
          <w:sz w:val="30"/>
          <w:szCs w:val="30"/>
        </w:rPr>
      </w:pPr>
      <w:r>
        <w:rPr>
          <w:rFonts w:hint="eastAsia" w:ascii="宋体" w:hAnsi="宋体"/>
          <w:spacing w:val="-4"/>
          <w:sz w:val="30"/>
          <w:szCs w:val="30"/>
        </w:rPr>
        <w:t>建筑幕墙类（建筑幕墙工程）</w:t>
      </w:r>
    </w:p>
    <w:p>
      <w:pPr>
        <w:adjustRightInd w:val="0"/>
        <w:snapToGrid w:val="0"/>
        <w:spacing w:line="360" w:lineRule="auto"/>
        <w:jc w:val="center"/>
        <w:rPr>
          <w:rFonts w:eastAsia="黑体"/>
          <w:b/>
          <w:bCs/>
          <w:szCs w:val="28"/>
        </w:rPr>
      </w:pPr>
    </w:p>
    <w:p>
      <w:pPr>
        <w:adjustRightInd w:val="0"/>
        <w:snapToGrid w:val="0"/>
        <w:spacing w:line="360" w:lineRule="auto"/>
        <w:ind w:firstLine="480" w:firstLineChars="200"/>
        <w:outlineLvl w:val="1"/>
        <w:rPr>
          <w:rFonts w:eastAsia="黑体"/>
          <w:bCs/>
          <w:sz w:val="24"/>
        </w:rPr>
      </w:pPr>
      <w:bookmarkStart w:id="0" w:name="_Toc857"/>
      <w:r>
        <w:rPr>
          <w:rFonts w:hint="eastAsia" w:eastAsia="黑体"/>
          <w:bCs/>
          <w:sz w:val="24"/>
        </w:rPr>
        <w:t>一、评分标准及要求：</w:t>
      </w:r>
      <w:bookmarkEnd w:id="0"/>
    </w:p>
    <w:p>
      <w:pPr>
        <w:adjustRightInd w:val="0"/>
        <w:snapToGrid w:val="0"/>
        <w:spacing w:line="360" w:lineRule="auto"/>
        <w:ind w:firstLine="480" w:firstLineChars="200"/>
        <w:rPr>
          <w:sz w:val="24"/>
        </w:rPr>
      </w:pPr>
      <w:r>
        <w:rPr>
          <w:rFonts w:hint="eastAsia"/>
          <w:sz w:val="24"/>
        </w:rPr>
        <w:t>建筑幕墙类（含主承建和并列承建）：工程合同金额或结算金额不低于1500万元人民币（不含设备购置和安装费用）且面积不低于15000㎡（金属屋面（含采光顶）面积不低于20000㎡），建筑幕墙面积应大于立面外围护结构面积的60%。鉴于复查项目的工程性质、类别、规模、使用的材料、采用的工艺等各方面差别较大，故复查工程的评分采用扣分法，本细则重点列出了在资料（必要文件、计算书、质量管理资料、图纸）、工程实体、新技术、总体印象等几个方面的常见问题、质量通病和涉及安全与使用的问题，结合复查中查出的问题进行评分。项目复查总分为100分，建议推荐得分在80分以上的项目，详细分项和评分标准见《工程复查实施细则——建筑幕墙类（建筑幕墙工程）》。</w:t>
      </w:r>
    </w:p>
    <w:p>
      <w:pPr>
        <w:adjustRightInd w:val="0"/>
        <w:snapToGrid w:val="0"/>
        <w:spacing w:line="360" w:lineRule="auto"/>
        <w:ind w:firstLine="480" w:firstLineChars="200"/>
        <w:rPr>
          <w:sz w:val="24"/>
        </w:rPr>
      </w:pPr>
      <w:r>
        <w:rPr>
          <w:rFonts w:hint="eastAsia"/>
          <w:sz w:val="24"/>
        </w:rPr>
        <w:t>《工程复查实施细则——建筑幕墙类（建筑幕墙工程）》中所列均为工程复查的必查和主查内容，各复查小组可根据项目实际情况做必要的补充和调整，但必查内容不可取消。复查评分严格按照各项要求及分值进行复查评分，并将各大项评分记录在申报表工程复查表中。</w:t>
      </w:r>
    </w:p>
    <w:p>
      <w:pPr>
        <w:adjustRightInd w:val="0"/>
        <w:snapToGrid w:val="0"/>
        <w:spacing w:line="360" w:lineRule="auto"/>
        <w:ind w:firstLine="480" w:firstLineChars="200"/>
        <w:rPr>
          <w:sz w:val="24"/>
        </w:rPr>
      </w:pPr>
      <w:r>
        <w:rPr>
          <w:rFonts w:hint="eastAsia"/>
          <w:sz w:val="24"/>
        </w:rPr>
        <w:t>申报中国建筑工程装饰奖的单位需重视对工程安全隐患的排查及相关必要文件的准备，要求企业申报前对涉及安全、结构、热工、防火、隐蔽资料等方面的情况进行自查，使其符合相应的国家强制性规范和标准以及装饰奖复查的要求。</w:t>
      </w:r>
    </w:p>
    <w:p>
      <w:pPr>
        <w:adjustRightInd w:val="0"/>
        <w:snapToGrid w:val="0"/>
        <w:spacing w:line="360" w:lineRule="auto"/>
        <w:ind w:firstLine="480" w:firstLineChars="200"/>
        <w:outlineLvl w:val="1"/>
        <w:rPr>
          <w:rFonts w:ascii="黑体" w:hAnsi="黑体" w:eastAsia="黑体"/>
          <w:sz w:val="24"/>
        </w:rPr>
      </w:pPr>
      <w:bookmarkStart w:id="1" w:name="_Toc23868"/>
      <w:r>
        <w:rPr>
          <w:rFonts w:hint="eastAsia" w:ascii="黑体" w:hAnsi="黑体" w:eastAsia="黑体"/>
          <w:sz w:val="24"/>
        </w:rPr>
        <w:t>二、需要说明与注意的问题</w:t>
      </w:r>
      <w:bookmarkEnd w:id="1"/>
    </w:p>
    <w:p>
      <w:pPr>
        <w:adjustRightInd w:val="0"/>
        <w:snapToGrid w:val="0"/>
        <w:spacing w:line="360" w:lineRule="auto"/>
        <w:ind w:firstLine="480" w:firstLineChars="200"/>
        <w:rPr>
          <w:sz w:val="24"/>
        </w:rPr>
      </w:pPr>
      <w:r>
        <w:rPr>
          <w:rFonts w:hint="eastAsia"/>
          <w:sz w:val="24"/>
        </w:rPr>
        <w:t>1.当原设计单位出具的热工计算书、结构计算书对照复查要求有遗漏、不充分时，具有幕墙设计资质的申报单位可以自行补充完善，补充文件上计算及校审人员应签字手续齐全、加盖设计图章。</w:t>
      </w:r>
    </w:p>
    <w:p>
      <w:pPr>
        <w:adjustRightInd w:val="0"/>
        <w:snapToGrid w:val="0"/>
        <w:spacing w:line="360" w:lineRule="auto"/>
        <w:ind w:firstLine="480" w:firstLineChars="200"/>
        <w:rPr>
          <w:sz w:val="24"/>
        </w:rPr>
      </w:pPr>
      <w:r>
        <w:rPr>
          <w:rFonts w:hint="eastAsia"/>
          <w:sz w:val="24"/>
        </w:rPr>
        <w:t>2.竣工图是工程竣工后，真实反映工程施工结果的图样。工程无变更或变更不大的，可以在原有施工图上加盖竣工图章、将变更内容直接改绘在原施工图上，形成竣工图。工程变更较大的，可另外绘制修改图并注明修改部位、修改依据等，加盖原设计单位图章和竣工图章，形成竣工图。竣工图纸应是蓝图，也可以是激光打印白图，不得使用复印的白图。</w:t>
      </w:r>
    </w:p>
    <w:p>
      <w:pPr>
        <w:adjustRightInd w:val="0"/>
        <w:snapToGrid w:val="0"/>
        <w:spacing w:line="360" w:lineRule="auto"/>
        <w:ind w:firstLine="480" w:firstLineChars="200"/>
        <w:rPr>
          <w:sz w:val="24"/>
        </w:rPr>
      </w:pPr>
      <w:r>
        <w:rPr>
          <w:rFonts w:hint="eastAsia"/>
          <w:sz w:val="24"/>
        </w:rPr>
        <w:t>3.住房和城乡建设部与国家安监总局联合发文的建标</w:t>
      </w:r>
      <w:r>
        <w:rPr>
          <w:sz w:val="24"/>
        </w:rPr>
        <w:t>[2015]38</w:t>
      </w:r>
      <w:r>
        <w:rPr>
          <w:rFonts w:hint="eastAsia"/>
          <w:sz w:val="24"/>
        </w:rPr>
        <w:t>号文件要求：在新建住宅、党政机关办公楼、医院门诊急诊楼和病房楼、中小学校、托儿所、幼儿园、老年人建筑，这七类建筑的二层及以上不得采用玻璃幕墙。在人员密集、流动性大的商业中心，交通枢纽，公共文化体育设施等场所，临近道路、广场及下部为出入口、人员通道的建筑，严禁采用全隐框玻璃幕墙。</w:t>
      </w:r>
    </w:p>
    <w:p>
      <w:pPr>
        <w:adjustRightInd w:val="0"/>
        <w:snapToGrid w:val="0"/>
        <w:spacing w:line="360" w:lineRule="auto"/>
        <w:ind w:firstLine="480" w:firstLineChars="200"/>
        <w:rPr>
          <w:sz w:val="24"/>
        </w:rPr>
      </w:pPr>
      <w:r>
        <w:rPr>
          <w:rFonts w:hint="eastAsia"/>
          <w:sz w:val="24"/>
        </w:rPr>
        <w:t>4.质量管理资料中，幕墙的主要材料指：龙骨、面材、连接件、埋件、紧固件、后置锚栓、背栓、结构胶、耐候密封胶、防火密封胶、石材干挂胶、防火保温材料、密封胶条、五金件等。</w:t>
      </w:r>
    </w:p>
    <w:p>
      <w:pPr>
        <w:adjustRightInd w:val="0"/>
        <w:snapToGrid w:val="0"/>
        <w:spacing w:line="360" w:lineRule="auto"/>
        <w:ind w:firstLine="480" w:firstLineChars="200"/>
        <w:rPr>
          <w:spacing w:val="-6"/>
          <w:sz w:val="24"/>
        </w:rPr>
      </w:pPr>
      <w:r>
        <w:rPr>
          <w:rFonts w:hint="eastAsia"/>
          <w:sz w:val="24"/>
        </w:rPr>
        <w:t>5.</w:t>
      </w:r>
      <w:r>
        <w:rPr>
          <w:rFonts w:hint="eastAsia"/>
          <w:spacing w:val="-6"/>
          <w:sz w:val="24"/>
        </w:rPr>
        <w:t>结构胶打胶工序外协加工的，结构胶的相容性、粘结性试验报告，结构胶打胶记录、蝴蝶试验记录、养护记录等相关记录与试验报告可提供加盖外协厂家公章的影印件。</w:t>
      </w:r>
    </w:p>
    <w:p>
      <w:pPr>
        <w:adjustRightInd w:val="0"/>
        <w:snapToGrid w:val="0"/>
        <w:spacing w:line="360" w:lineRule="auto"/>
        <w:ind w:firstLine="480" w:firstLineChars="200"/>
        <w:rPr>
          <w:sz w:val="24"/>
        </w:rPr>
      </w:pPr>
      <w:r>
        <w:rPr>
          <w:rFonts w:hint="eastAsia"/>
          <w:sz w:val="24"/>
        </w:rPr>
        <w:t>6.新技术包括但不限于预应力技术、3</w:t>
      </w:r>
      <w:r>
        <w:rPr>
          <w:sz w:val="24"/>
        </w:rPr>
        <w:t>D</w:t>
      </w:r>
      <w:r>
        <w:rPr>
          <w:rFonts w:hint="eastAsia"/>
          <w:sz w:val="24"/>
        </w:rPr>
        <w:t>打印技术、预制混凝土外墙挂板技术、索结构应用技术、装配式幕墙等。新工艺包括拥有省级及以上工法或发表专业技术论文等。</w:t>
      </w:r>
    </w:p>
    <w:p>
      <w:pPr>
        <w:adjustRightInd w:val="0"/>
        <w:snapToGrid w:val="0"/>
        <w:spacing w:line="360" w:lineRule="auto"/>
        <w:ind w:firstLine="480" w:firstLineChars="200"/>
        <w:outlineLvl w:val="1"/>
        <w:rPr>
          <w:rFonts w:eastAsia="黑体"/>
          <w:bCs/>
          <w:sz w:val="24"/>
        </w:rPr>
      </w:pPr>
      <w:bookmarkStart w:id="2" w:name="_Toc24242"/>
      <w:r>
        <w:rPr>
          <w:rFonts w:hint="eastAsia" w:eastAsia="黑体"/>
          <w:bCs/>
          <w:sz w:val="24"/>
        </w:rPr>
        <w:t>三、主要执行规范和标准：</w:t>
      </w:r>
      <w:bookmarkEnd w:id="2"/>
    </w:p>
    <w:p>
      <w:pPr>
        <w:adjustRightInd w:val="0"/>
        <w:snapToGrid w:val="0"/>
        <w:spacing w:line="360" w:lineRule="auto"/>
        <w:ind w:firstLine="480" w:firstLineChars="200"/>
        <w:rPr>
          <w:sz w:val="24"/>
        </w:rPr>
      </w:pPr>
      <w:r>
        <w:rPr>
          <w:rFonts w:hint="eastAsia"/>
          <w:sz w:val="24"/>
        </w:rPr>
        <w:t>1.《房屋建筑制图统一标准》GB</w:t>
      </w:r>
      <w:r>
        <w:rPr>
          <w:sz w:val="24"/>
        </w:rPr>
        <w:t>/</w:t>
      </w:r>
      <w:r>
        <w:rPr>
          <w:rFonts w:hint="eastAsia"/>
          <w:sz w:val="24"/>
        </w:rPr>
        <w:t>T50001-2017</w:t>
      </w:r>
    </w:p>
    <w:p>
      <w:pPr>
        <w:adjustRightInd w:val="0"/>
        <w:snapToGrid w:val="0"/>
        <w:spacing w:line="360" w:lineRule="auto"/>
        <w:ind w:firstLine="480" w:firstLineChars="200"/>
        <w:rPr>
          <w:sz w:val="24"/>
        </w:rPr>
      </w:pPr>
      <w:r>
        <w:rPr>
          <w:rFonts w:hint="eastAsia"/>
          <w:sz w:val="24"/>
        </w:rPr>
        <w:t>2.《民用建筑设计统一标准》GB50352-2019</w:t>
      </w:r>
    </w:p>
    <w:p>
      <w:pPr>
        <w:adjustRightInd w:val="0"/>
        <w:snapToGrid w:val="0"/>
        <w:spacing w:line="360" w:lineRule="auto"/>
        <w:ind w:firstLine="480" w:firstLineChars="200"/>
        <w:rPr>
          <w:sz w:val="24"/>
        </w:rPr>
      </w:pPr>
      <w:r>
        <w:rPr>
          <w:rFonts w:hint="eastAsia"/>
          <w:sz w:val="24"/>
        </w:rPr>
        <w:t>3.《建筑设计防火规范》GB50016-2014（2018年修订版）</w:t>
      </w:r>
    </w:p>
    <w:p>
      <w:pPr>
        <w:adjustRightInd w:val="0"/>
        <w:snapToGrid w:val="0"/>
        <w:spacing w:line="360" w:lineRule="auto"/>
        <w:ind w:firstLine="480" w:firstLineChars="200"/>
        <w:rPr>
          <w:sz w:val="24"/>
        </w:rPr>
      </w:pPr>
      <w:r>
        <w:rPr>
          <w:rFonts w:hint="eastAsia"/>
          <w:sz w:val="24"/>
        </w:rPr>
        <w:t>4.《公共建筑节能设计标准》GB50189-2015</w:t>
      </w:r>
    </w:p>
    <w:p>
      <w:pPr>
        <w:adjustRightInd w:val="0"/>
        <w:snapToGrid w:val="0"/>
        <w:spacing w:line="360" w:lineRule="auto"/>
        <w:ind w:firstLine="480" w:firstLineChars="200"/>
        <w:rPr>
          <w:sz w:val="24"/>
        </w:rPr>
      </w:pPr>
      <w:r>
        <w:rPr>
          <w:rFonts w:hint="eastAsia"/>
          <w:sz w:val="24"/>
        </w:rPr>
        <w:t>5.《建筑物防雷设计规范》GB50057-2010</w:t>
      </w:r>
    </w:p>
    <w:p>
      <w:pPr>
        <w:adjustRightInd w:val="0"/>
        <w:snapToGrid w:val="0"/>
        <w:spacing w:line="360" w:lineRule="auto"/>
        <w:ind w:firstLine="480" w:firstLineChars="200"/>
        <w:rPr>
          <w:sz w:val="24"/>
        </w:rPr>
      </w:pPr>
      <w:r>
        <w:rPr>
          <w:rFonts w:hint="eastAsia"/>
          <w:sz w:val="24"/>
        </w:rPr>
        <w:t>6.《</w:t>
      </w:r>
      <w:r>
        <w:rPr>
          <w:sz w:val="24"/>
        </w:rPr>
        <w:t>建筑幕墙空气声隔声性能分级及检测方法</w:t>
      </w:r>
      <w:r>
        <w:rPr>
          <w:rFonts w:hint="eastAsia"/>
          <w:sz w:val="24"/>
        </w:rPr>
        <w:t>》</w:t>
      </w:r>
      <w:r>
        <w:rPr>
          <w:sz w:val="24"/>
        </w:rPr>
        <w:t>GB/T39526-2020</w:t>
      </w:r>
    </w:p>
    <w:p>
      <w:pPr>
        <w:adjustRightInd w:val="0"/>
        <w:snapToGrid w:val="0"/>
        <w:spacing w:line="360" w:lineRule="auto"/>
        <w:ind w:firstLine="480" w:firstLineChars="200"/>
        <w:rPr>
          <w:sz w:val="24"/>
        </w:rPr>
      </w:pPr>
      <w:r>
        <w:rPr>
          <w:rFonts w:hint="eastAsia"/>
          <w:sz w:val="24"/>
        </w:rPr>
        <w:t>7.《</w:t>
      </w:r>
      <w:r>
        <w:rPr>
          <w:sz w:val="24"/>
        </w:rPr>
        <w:t>建筑门窗幕墙用钢化玻璃</w:t>
      </w:r>
      <w:r>
        <w:rPr>
          <w:rFonts w:hint="eastAsia"/>
          <w:sz w:val="24"/>
        </w:rPr>
        <w:t>》</w:t>
      </w:r>
      <w:r>
        <w:rPr>
          <w:sz w:val="24"/>
        </w:rPr>
        <w:t>JG/T455-2014</w:t>
      </w:r>
    </w:p>
    <w:p>
      <w:pPr>
        <w:adjustRightInd w:val="0"/>
        <w:snapToGrid w:val="0"/>
        <w:spacing w:line="360" w:lineRule="auto"/>
        <w:ind w:firstLine="480" w:firstLineChars="200"/>
        <w:rPr>
          <w:sz w:val="24"/>
        </w:rPr>
      </w:pPr>
      <w:r>
        <w:rPr>
          <w:rFonts w:hint="eastAsia"/>
          <w:sz w:val="24"/>
        </w:rPr>
        <w:t>8.《建筑玻璃采光顶技术要求》JG/T231-2018</w:t>
      </w:r>
    </w:p>
    <w:p>
      <w:pPr>
        <w:adjustRightInd w:val="0"/>
        <w:snapToGrid w:val="0"/>
        <w:spacing w:line="360" w:lineRule="auto"/>
        <w:ind w:firstLine="480" w:firstLineChars="200"/>
        <w:rPr>
          <w:sz w:val="24"/>
        </w:rPr>
      </w:pPr>
      <w:r>
        <w:rPr>
          <w:rFonts w:hint="eastAsia"/>
          <w:sz w:val="24"/>
        </w:rPr>
        <w:t>9.《</w:t>
      </w:r>
      <w:r>
        <w:rPr>
          <w:sz w:val="24"/>
        </w:rPr>
        <w:fldChar w:fldCharType="begin"/>
      </w:r>
      <w:r>
        <w:rPr>
          <w:sz w:val="24"/>
        </w:rPr>
        <w:instrText xml:space="preserve"> HYPERLINK "javascript:;" </w:instrText>
      </w:r>
      <w:r>
        <w:rPr>
          <w:sz w:val="24"/>
        </w:rPr>
        <w:fldChar w:fldCharType="separate"/>
      </w:r>
      <w:r>
        <w:t>建筑幕墙耐撞击性能分级及检测方法</w:t>
      </w:r>
      <w:r>
        <w:fldChar w:fldCharType="end"/>
      </w:r>
      <w:r>
        <w:rPr>
          <w:rFonts w:hint="eastAsia"/>
          <w:sz w:val="24"/>
        </w:rPr>
        <w:t>》</w:t>
      </w:r>
      <w:r>
        <w:rPr>
          <w:sz w:val="24"/>
        </w:rPr>
        <w:t>GB/T38264-2019</w:t>
      </w:r>
    </w:p>
    <w:p>
      <w:pPr>
        <w:adjustRightInd w:val="0"/>
        <w:snapToGrid w:val="0"/>
        <w:spacing w:line="360" w:lineRule="auto"/>
        <w:ind w:firstLine="480" w:firstLineChars="200"/>
        <w:rPr>
          <w:sz w:val="24"/>
        </w:rPr>
      </w:pPr>
      <w:r>
        <w:rPr>
          <w:rFonts w:hint="eastAsia"/>
          <w:sz w:val="24"/>
        </w:rPr>
        <w:t>10.《建筑结构可靠性设计统一标准》</w:t>
      </w:r>
      <w:r>
        <w:rPr>
          <w:sz w:val="24"/>
        </w:rPr>
        <w:t>GB50068-2018</w:t>
      </w:r>
    </w:p>
    <w:p>
      <w:pPr>
        <w:adjustRightInd w:val="0"/>
        <w:snapToGrid w:val="0"/>
        <w:spacing w:line="360" w:lineRule="auto"/>
        <w:ind w:firstLine="480" w:firstLineChars="200"/>
        <w:rPr>
          <w:sz w:val="24"/>
        </w:rPr>
      </w:pPr>
      <w:r>
        <w:rPr>
          <w:rFonts w:hint="eastAsia"/>
          <w:sz w:val="24"/>
        </w:rPr>
        <w:t>11.《建筑结构荷载规范》GB50009-2012</w:t>
      </w:r>
    </w:p>
    <w:p>
      <w:pPr>
        <w:adjustRightInd w:val="0"/>
        <w:snapToGrid w:val="0"/>
        <w:spacing w:line="360" w:lineRule="auto"/>
        <w:ind w:firstLine="480" w:firstLineChars="200"/>
        <w:rPr>
          <w:sz w:val="24"/>
        </w:rPr>
      </w:pPr>
      <w:r>
        <w:rPr>
          <w:rFonts w:hint="eastAsia"/>
          <w:sz w:val="24"/>
        </w:rPr>
        <w:t>12.《建筑抗震设计规范》GB50011-2010（2016年修订版）</w:t>
      </w:r>
    </w:p>
    <w:p>
      <w:pPr>
        <w:adjustRightInd w:val="0"/>
        <w:snapToGrid w:val="0"/>
        <w:spacing w:line="360" w:lineRule="auto"/>
        <w:ind w:firstLine="480" w:firstLineChars="200"/>
        <w:rPr>
          <w:sz w:val="24"/>
        </w:rPr>
      </w:pPr>
      <w:r>
        <w:rPr>
          <w:rFonts w:hint="eastAsia"/>
          <w:sz w:val="24"/>
        </w:rPr>
        <w:t>13.《钢结构设计标准》GB50017-2017</w:t>
      </w:r>
    </w:p>
    <w:p>
      <w:pPr>
        <w:adjustRightInd w:val="0"/>
        <w:snapToGrid w:val="0"/>
        <w:spacing w:line="360" w:lineRule="auto"/>
        <w:ind w:firstLine="480" w:firstLineChars="200"/>
        <w:rPr>
          <w:sz w:val="24"/>
        </w:rPr>
      </w:pPr>
      <w:r>
        <w:rPr>
          <w:rFonts w:hint="eastAsia"/>
          <w:sz w:val="24"/>
        </w:rPr>
        <w:t>14.《冷弯薄壁型钢结构技术规范》GB50018-2002</w:t>
      </w:r>
    </w:p>
    <w:p>
      <w:pPr>
        <w:adjustRightInd w:val="0"/>
        <w:snapToGrid w:val="0"/>
        <w:spacing w:line="360" w:lineRule="auto"/>
        <w:ind w:firstLine="480" w:firstLineChars="200"/>
        <w:rPr>
          <w:sz w:val="24"/>
        </w:rPr>
      </w:pPr>
      <w:r>
        <w:rPr>
          <w:rFonts w:hint="eastAsia"/>
          <w:sz w:val="24"/>
        </w:rPr>
        <w:t>15.《铝合金结构设计规范》GB50429-2007</w:t>
      </w:r>
    </w:p>
    <w:p>
      <w:pPr>
        <w:adjustRightInd w:val="0"/>
        <w:snapToGrid w:val="0"/>
        <w:spacing w:line="360" w:lineRule="auto"/>
        <w:ind w:firstLine="480" w:firstLineChars="200"/>
        <w:rPr>
          <w:sz w:val="24"/>
        </w:rPr>
      </w:pPr>
      <w:r>
        <w:rPr>
          <w:rFonts w:hint="eastAsia"/>
          <w:sz w:val="24"/>
        </w:rPr>
        <w:t>16.《混凝土结构后锚固技术规程》JGJ145-2013</w:t>
      </w:r>
    </w:p>
    <w:p>
      <w:pPr>
        <w:adjustRightInd w:val="0"/>
        <w:snapToGrid w:val="0"/>
        <w:spacing w:line="360" w:lineRule="auto"/>
        <w:ind w:firstLine="480" w:firstLineChars="200"/>
        <w:rPr>
          <w:sz w:val="24"/>
        </w:rPr>
      </w:pPr>
      <w:r>
        <w:rPr>
          <w:rFonts w:hint="eastAsia"/>
          <w:sz w:val="24"/>
        </w:rPr>
        <w:t>17.《中国地震烈度表》GB/T17742-2020</w:t>
      </w:r>
    </w:p>
    <w:p>
      <w:pPr>
        <w:adjustRightInd w:val="0"/>
        <w:snapToGrid w:val="0"/>
        <w:spacing w:line="360" w:lineRule="auto"/>
        <w:ind w:firstLine="480" w:firstLineChars="200"/>
        <w:rPr>
          <w:sz w:val="24"/>
        </w:rPr>
      </w:pPr>
      <w:r>
        <w:rPr>
          <w:rFonts w:hint="eastAsia"/>
          <w:sz w:val="24"/>
        </w:rPr>
        <w:t>18.《工程结构可靠性设计统一标准》GB50153-2008</w:t>
      </w:r>
    </w:p>
    <w:p>
      <w:pPr>
        <w:adjustRightInd w:val="0"/>
        <w:snapToGrid w:val="0"/>
        <w:spacing w:line="360" w:lineRule="auto"/>
        <w:ind w:firstLine="480" w:firstLineChars="200"/>
        <w:rPr>
          <w:sz w:val="24"/>
        </w:rPr>
      </w:pPr>
      <w:r>
        <w:rPr>
          <w:rFonts w:hint="eastAsia"/>
          <w:sz w:val="24"/>
        </w:rPr>
        <w:t>19.《建筑玻璃点支承装置》</w:t>
      </w:r>
      <w:r>
        <w:rPr>
          <w:sz w:val="24"/>
        </w:rPr>
        <w:t>JG/T138-2010</w:t>
      </w:r>
    </w:p>
    <w:p>
      <w:pPr>
        <w:adjustRightInd w:val="0"/>
        <w:snapToGrid w:val="0"/>
        <w:spacing w:line="360" w:lineRule="auto"/>
        <w:ind w:firstLine="480" w:firstLineChars="200"/>
        <w:rPr>
          <w:sz w:val="24"/>
        </w:rPr>
      </w:pPr>
      <w:r>
        <w:rPr>
          <w:rFonts w:hint="eastAsia"/>
          <w:sz w:val="24"/>
        </w:rPr>
        <w:t>20.《建筑钢结构防腐蚀技术规程(附条文说明)》</w:t>
      </w:r>
      <w:r>
        <w:rPr>
          <w:sz w:val="24"/>
        </w:rPr>
        <w:t>JGJ/T251-2011</w:t>
      </w:r>
    </w:p>
    <w:p>
      <w:pPr>
        <w:adjustRightInd w:val="0"/>
        <w:snapToGrid w:val="0"/>
        <w:spacing w:line="360" w:lineRule="auto"/>
        <w:ind w:firstLine="480" w:firstLineChars="200"/>
        <w:rPr>
          <w:sz w:val="24"/>
        </w:rPr>
      </w:pPr>
      <w:r>
        <w:rPr>
          <w:rFonts w:hint="eastAsia"/>
          <w:sz w:val="24"/>
        </w:rPr>
        <w:t>21.《钢结构工程施工规范》GB50755-2012</w:t>
      </w:r>
    </w:p>
    <w:p>
      <w:pPr>
        <w:adjustRightInd w:val="0"/>
        <w:snapToGrid w:val="0"/>
        <w:spacing w:line="360" w:lineRule="auto"/>
        <w:ind w:firstLine="480" w:firstLineChars="200"/>
        <w:rPr>
          <w:sz w:val="24"/>
        </w:rPr>
      </w:pPr>
      <w:r>
        <w:rPr>
          <w:rFonts w:hint="eastAsia"/>
          <w:sz w:val="24"/>
        </w:rPr>
        <w:t>22.《索结构技术规程》JGJ257-2012</w:t>
      </w:r>
    </w:p>
    <w:p>
      <w:pPr>
        <w:adjustRightInd w:val="0"/>
        <w:snapToGrid w:val="0"/>
        <w:spacing w:line="360" w:lineRule="auto"/>
        <w:ind w:firstLine="480" w:firstLineChars="200"/>
        <w:rPr>
          <w:sz w:val="24"/>
        </w:rPr>
      </w:pPr>
      <w:r>
        <w:rPr>
          <w:rFonts w:hint="eastAsia"/>
          <w:sz w:val="24"/>
        </w:rPr>
        <w:t>23.《中国地震动参数区划图》GB18306-2015</w:t>
      </w:r>
    </w:p>
    <w:p>
      <w:pPr>
        <w:adjustRightInd w:val="0"/>
        <w:snapToGrid w:val="0"/>
        <w:spacing w:line="360" w:lineRule="auto"/>
        <w:ind w:firstLine="480" w:firstLineChars="200"/>
        <w:rPr>
          <w:sz w:val="24"/>
        </w:rPr>
      </w:pPr>
      <w:r>
        <w:rPr>
          <w:rFonts w:hint="eastAsia"/>
          <w:sz w:val="24"/>
        </w:rPr>
        <w:t>24.《玻璃幕墙工程技术规范》JGJ102-2003</w:t>
      </w:r>
    </w:p>
    <w:p>
      <w:pPr>
        <w:adjustRightInd w:val="0"/>
        <w:snapToGrid w:val="0"/>
        <w:spacing w:line="360" w:lineRule="auto"/>
        <w:ind w:firstLine="480" w:firstLineChars="200"/>
        <w:rPr>
          <w:sz w:val="24"/>
        </w:rPr>
      </w:pPr>
      <w:r>
        <w:rPr>
          <w:rFonts w:hint="eastAsia"/>
          <w:sz w:val="24"/>
        </w:rPr>
        <w:t>25.《金属与石材幕墙工程技术规范》JGJ133-2001</w:t>
      </w:r>
    </w:p>
    <w:p>
      <w:pPr>
        <w:adjustRightInd w:val="0"/>
        <w:snapToGrid w:val="0"/>
        <w:spacing w:line="360" w:lineRule="auto"/>
        <w:ind w:firstLine="480" w:firstLineChars="200"/>
        <w:rPr>
          <w:sz w:val="24"/>
        </w:rPr>
      </w:pPr>
      <w:r>
        <w:rPr>
          <w:rFonts w:hint="eastAsia"/>
          <w:sz w:val="24"/>
        </w:rPr>
        <w:t>26.《建筑幕墙》GB/T21086-2007</w:t>
      </w:r>
    </w:p>
    <w:p>
      <w:pPr>
        <w:adjustRightInd w:val="0"/>
        <w:snapToGrid w:val="0"/>
        <w:spacing w:line="360" w:lineRule="auto"/>
        <w:ind w:firstLine="480" w:firstLineChars="200"/>
        <w:rPr>
          <w:sz w:val="24"/>
        </w:rPr>
      </w:pPr>
      <w:r>
        <w:rPr>
          <w:rFonts w:hint="eastAsia"/>
          <w:sz w:val="24"/>
        </w:rPr>
        <w:t>27.《玻璃幕墙光热性能》GB</w:t>
      </w:r>
      <w:r>
        <w:rPr>
          <w:sz w:val="24"/>
        </w:rPr>
        <w:t>/</w:t>
      </w:r>
      <w:r>
        <w:rPr>
          <w:rFonts w:hint="eastAsia"/>
          <w:sz w:val="24"/>
        </w:rPr>
        <w:t>T18091-2015</w:t>
      </w:r>
    </w:p>
    <w:p>
      <w:pPr>
        <w:adjustRightInd w:val="0"/>
        <w:snapToGrid w:val="0"/>
        <w:spacing w:line="360" w:lineRule="auto"/>
        <w:ind w:firstLine="480" w:firstLineChars="200"/>
        <w:rPr>
          <w:sz w:val="24"/>
        </w:rPr>
      </w:pPr>
      <w:r>
        <w:rPr>
          <w:rFonts w:hint="eastAsia"/>
          <w:sz w:val="24"/>
        </w:rPr>
        <w:t>28.《建筑玻璃应用技术规程》JG/J113-2015</w:t>
      </w:r>
    </w:p>
    <w:p>
      <w:pPr>
        <w:adjustRightInd w:val="0"/>
        <w:snapToGrid w:val="0"/>
        <w:spacing w:line="360" w:lineRule="auto"/>
        <w:ind w:firstLine="480" w:firstLineChars="200"/>
        <w:rPr>
          <w:sz w:val="24"/>
        </w:rPr>
      </w:pPr>
      <w:r>
        <w:rPr>
          <w:rFonts w:hint="eastAsia"/>
          <w:sz w:val="24"/>
        </w:rPr>
        <w:t>29.《采光顶与金属屋面技术规程》JGJ/T255-2012</w:t>
      </w:r>
    </w:p>
    <w:p>
      <w:pPr>
        <w:adjustRightInd w:val="0"/>
        <w:snapToGrid w:val="0"/>
        <w:spacing w:line="360" w:lineRule="auto"/>
        <w:ind w:firstLine="480" w:firstLineChars="200"/>
        <w:rPr>
          <w:sz w:val="24"/>
        </w:rPr>
      </w:pPr>
      <w:r>
        <w:rPr>
          <w:rFonts w:hint="eastAsia"/>
          <w:sz w:val="24"/>
        </w:rPr>
        <w:t>30.《人造板材幕墙工程技术规范》</w:t>
      </w:r>
      <w:r>
        <w:rPr>
          <w:sz w:val="24"/>
        </w:rPr>
        <w:t>JGJ336-2016</w:t>
      </w:r>
    </w:p>
    <w:p>
      <w:pPr>
        <w:adjustRightInd w:val="0"/>
        <w:snapToGrid w:val="0"/>
        <w:spacing w:line="360" w:lineRule="auto"/>
        <w:ind w:firstLine="480" w:firstLineChars="200"/>
        <w:rPr>
          <w:sz w:val="24"/>
        </w:rPr>
      </w:pPr>
      <w:r>
        <w:rPr>
          <w:rFonts w:hint="eastAsia"/>
          <w:sz w:val="24"/>
        </w:rPr>
        <w:t>31.《建筑玻璃幕墙粘接结构可靠性试验方法》GB</w:t>
      </w:r>
      <w:r>
        <w:rPr>
          <w:sz w:val="24"/>
        </w:rPr>
        <w:t>/</w:t>
      </w:r>
      <w:r>
        <w:rPr>
          <w:rFonts w:hint="eastAsia"/>
          <w:sz w:val="24"/>
        </w:rPr>
        <w:t>T34554-2017</w:t>
      </w:r>
    </w:p>
    <w:p>
      <w:pPr>
        <w:adjustRightInd w:val="0"/>
        <w:snapToGrid w:val="0"/>
        <w:spacing w:line="360" w:lineRule="auto"/>
        <w:ind w:firstLine="480" w:firstLineChars="200"/>
        <w:rPr>
          <w:sz w:val="24"/>
        </w:rPr>
      </w:pPr>
      <w:r>
        <w:rPr>
          <w:rFonts w:hint="eastAsia"/>
          <w:sz w:val="24"/>
        </w:rPr>
        <w:t>32.《建筑采光顶气密、水密、抗风压性能检测方法》GB</w:t>
      </w:r>
      <w:r>
        <w:rPr>
          <w:sz w:val="24"/>
        </w:rPr>
        <w:t>/</w:t>
      </w:r>
      <w:r>
        <w:rPr>
          <w:rFonts w:hint="eastAsia"/>
          <w:sz w:val="24"/>
        </w:rPr>
        <w:t>T34555-2017</w:t>
      </w:r>
    </w:p>
    <w:p>
      <w:pPr>
        <w:adjustRightInd w:val="0"/>
        <w:snapToGrid w:val="0"/>
        <w:spacing w:line="360" w:lineRule="auto"/>
        <w:ind w:firstLine="480" w:firstLineChars="200"/>
        <w:rPr>
          <w:sz w:val="24"/>
        </w:rPr>
      </w:pPr>
      <w:r>
        <w:rPr>
          <w:rFonts w:hint="eastAsia"/>
          <w:sz w:val="24"/>
        </w:rPr>
        <w:t>33.《建筑幕墙术语》GB/T34327-2017</w:t>
      </w:r>
    </w:p>
    <w:p>
      <w:pPr>
        <w:adjustRightInd w:val="0"/>
        <w:snapToGrid w:val="0"/>
        <w:spacing w:line="360" w:lineRule="auto"/>
        <w:ind w:firstLine="480" w:firstLineChars="200"/>
        <w:rPr>
          <w:sz w:val="24"/>
        </w:rPr>
      </w:pPr>
      <w:r>
        <w:rPr>
          <w:rFonts w:hint="eastAsia"/>
          <w:sz w:val="24"/>
        </w:rPr>
        <w:t>34.《屋面工程技术规范》</w:t>
      </w:r>
      <w:r>
        <w:rPr>
          <w:sz w:val="24"/>
        </w:rPr>
        <w:t>GB50345</w:t>
      </w:r>
      <w:r>
        <w:rPr>
          <w:rFonts w:hint="eastAsia"/>
          <w:sz w:val="24"/>
        </w:rPr>
        <w:t>－</w:t>
      </w:r>
      <w:r>
        <w:rPr>
          <w:sz w:val="24"/>
        </w:rPr>
        <w:t>20</w:t>
      </w:r>
      <w:r>
        <w:rPr>
          <w:rFonts w:hint="eastAsia"/>
          <w:sz w:val="24"/>
        </w:rPr>
        <w:t>12</w:t>
      </w:r>
    </w:p>
    <w:p>
      <w:pPr>
        <w:adjustRightInd w:val="0"/>
        <w:snapToGrid w:val="0"/>
        <w:spacing w:line="360" w:lineRule="auto"/>
        <w:ind w:firstLine="480" w:firstLineChars="200"/>
        <w:rPr>
          <w:sz w:val="24"/>
        </w:rPr>
      </w:pPr>
      <w:r>
        <w:rPr>
          <w:rFonts w:hint="eastAsia"/>
          <w:sz w:val="24"/>
        </w:rPr>
        <w:t>35.《玻璃幕墙工程质量检验标准》JGJ/T139-2020</w:t>
      </w:r>
    </w:p>
    <w:p>
      <w:pPr>
        <w:adjustRightInd w:val="0"/>
        <w:snapToGrid w:val="0"/>
        <w:spacing w:line="360" w:lineRule="auto"/>
        <w:ind w:firstLine="480" w:firstLineChars="200"/>
        <w:rPr>
          <w:sz w:val="24"/>
        </w:rPr>
      </w:pPr>
      <w:r>
        <w:rPr>
          <w:rFonts w:hint="eastAsia"/>
          <w:sz w:val="24"/>
        </w:rPr>
        <w:t>36.《建筑幕墙气密、水密、抗风压性能检测方法》GB/T15227-2019</w:t>
      </w:r>
    </w:p>
    <w:p>
      <w:pPr>
        <w:adjustRightInd w:val="0"/>
        <w:snapToGrid w:val="0"/>
        <w:spacing w:line="360" w:lineRule="auto"/>
        <w:ind w:firstLine="480" w:firstLineChars="200"/>
        <w:rPr>
          <w:sz w:val="24"/>
        </w:rPr>
      </w:pPr>
      <w:r>
        <w:rPr>
          <w:rFonts w:hint="eastAsia"/>
          <w:sz w:val="24"/>
        </w:rPr>
        <w:t>37.《建筑幕墙层间变形性能分级及检查方法》GB/T18250-2015</w:t>
      </w:r>
    </w:p>
    <w:p>
      <w:pPr>
        <w:adjustRightInd w:val="0"/>
        <w:snapToGrid w:val="0"/>
        <w:spacing w:line="360" w:lineRule="auto"/>
        <w:ind w:firstLine="480" w:firstLineChars="200"/>
        <w:rPr>
          <w:sz w:val="24"/>
        </w:rPr>
      </w:pPr>
      <w:r>
        <w:rPr>
          <w:rFonts w:hint="eastAsia"/>
          <w:sz w:val="24"/>
        </w:rPr>
        <w:t>38.《建筑外门窗气密、水密、抗风压性能检测方法》GB/T7106-2019</w:t>
      </w:r>
    </w:p>
    <w:p>
      <w:pPr>
        <w:adjustRightInd w:val="0"/>
        <w:snapToGrid w:val="0"/>
        <w:spacing w:line="360" w:lineRule="auto"/>
        <w:ind w:firstLine="480" w:firstLineChars="200"/>
        <w:rPr>
          <w:sz w:val="24"/>
        </w:rPr>
      </w:pPr>
      <w:r>
        <w:rPr>
          <w:rFonts w:hint="eastAsia"/>
          <w:sz w:val="24"/>
        </w:rPr>
        <w:t>39.《建筑外门窗保温性能检测方法》GB/T8484-2020</w:t>
      </w:r>
    </w:p>
    <w:p>
      <w:pPr>
        <w:adjustRightInd w:val="0"/>
        <w:snapToGrid w:val="0"/>
        <w:spacing w:line="360" w:lineRule="auto"/>
        <w:ind w:firstLine="480" w:firstLineChars="200"/>
        <w:rPr>
          <w:sz w:val="24"/>
        </w:rPr>
      </w:pPr>
      <w:r>
        <w:rPr>
          <w:rFonts w:hint="eastAsia"/>
          <w:sz w:val="24"/>
        </w:rPr>
        <w:t>40.《建筑门窗空气声隔声性能分级及检测方法》GB/T8485-2008</w:t>
      </w:r>
    </w:p>
    <w:p>
      <w:pPr>
        <w:adjustRightInd w:val="0"/>
        <w:snapToGrid w:val="0"/>
        <w:spacing w:line="360" w:lineRule="auto"/>
        <w:ind w:firstLine="480" w:firstLineChars="200"/>
        <w:rPr>
          <w:sz w:val="24"/>
        </w:rPr>
      </w:pPr>
      <w:r>
        <w:rPr>
          <w:rFonts w:hint="eastAsia"/>
          <w:sz w:val="24"/>
        </w:rPr>
        <w:t>41.《建筑外窗采光性能分级及检测方法》GB/T11976-2015</w:t>
      </w:r>
    </w:p>
    <w:p>
      <w:pPr>
        <w:adjustRightInd w:val="0"/>
        <w:snapToGrid w:val="0"/>
        <w:spacing w:line="360" w:lineRule="auto"/>
        <w:ind w:firstLine="480" w:firstLineChars="200"/>
        <w:rPr>
          <w:sz w:val="24"/>
        </w:rPr>
      </w:pPr>
      <w:r>
        <w:rPr>
          <w:rFonts w:hint="eastAsia"/>
          <w:sz w:val="24"/>
        </w:rPr>
        <w:t>42.《建筑门窗玻璃幕墙热工计算规程》</w:t>
      </w:r>
      <w:r>
        <w:rPr>
          <w:sz w:val="24"/>
        </w:rPr>
        <w:t>JGJ/T151-2008</w:t>
      </w:r>
    </w:p>
    <w:p>
      <w:pPr>
        <w:adjustRightInd w:val="0"/>
        <w:snapToGrid w:val="0"/>
        <w:spacing w:line="360" w:lineRule="auto"/>
        <w:ind w:firstLine="480" w:firstLineChars="200"/>
        <w:outlineLvl w:val="2"/>
        <w:rPr>
          <w:sz w:val="24"/>
        </w:rPr>
      </w:pPr>
      <w:bookmarkStart w:id="3" w:name="_Toc8802"/>
      <w:r>
        <w:rPr>
          <w:rFonts w:hint="eastAsia"/>
          <w:sz w:val="24"/>
        </w:rPr>
        <w:t>43.《平板玻璃》</w:t>
      </w:r>
      <w:r>
        <w:rPr>
          <w:sz w:val="24"/>
        </w:rPr>
        <w:t>GB11614-2009</w:t>
      </w:r>
      <w:bookmarkEnd w:id="3"/>
    </w:p>
    <w:p>
      <w:pPr>
        <w:adjustRightInd w:val="0"/>
        <w:snapToGrid w:val="0"/>
        <w:spacing w:line="360" w:lineRule="auto"/>
        <w:ind w:firstLine="480" w:firstLineChars="200"/>
        <w:rPr>
          <w:sz w:val="24"/>
        </w:rPr>
      </w:pPr>
      <w:r>
        <w:rPr>
          <w:rFonts w:hint="eastAsia"/>
          <w:sz w:val="24"/>
        </w:rPr>
        <w:t xml:space="preserve">44.《建筑用安全玻璃 第1部 防火玻璃》GB15763.1-2001 </w:t>
      </w:r>
      <w:r>
        <w:rPr>
          <w:sz w:val="24"/>
        </w:rPr>
        <w:t>GB15763.1-2009</w:t>
      </w:r>
    </w:p>
    <w:p>
      <w:pPr>
        <w:adjustRightInd w:val="0"/>
        <w:snapToGrid w:val="0"/>
        <w:spacing w:line="360" w:lineRule="auto"/>
        <w:ind w:firstLine="480" w:firstLineChars="200"/>
        <w:rPr>
          <w:sz w:val="24"/>
        </w:rPr>
      </w:pPr>
      <w:r>
        <w:rPr>
          <w:rFonts w:hint="eastAsia"/>
          <w:sz w:val="24"/>
        </w:rPr>
        <w:t>45.《建筑用安全玻璃 第2部分：钢化玻璃》GB15763.2-2005</w:t>
      </w:r>
    </w:p>
    <w:p>
      <w:pPr>
        <w:adjustRightInd w:val="0"/>
        <w:snapToGrid w:val="0"/>
        <w:spacing w:line="360" w:lineRule="auto"/>
        <w:ind w:firstLine="480" w:firstLineChars="200"/>
        <w:rPr>
          <w:sz w:val="24"/>
        </w:rPr>
      </w:pPr>
      <w:r>
        <w:rPr>
          <w:rFonts w:hint="eastAsia"/>
          <w:sz w:val="24"/>
        </w:rPr>
        <w:t>46.《建筑用安全玻璃 第3部 夹层玻璃》</w:t>
      </w:r>
      <w:r>
        <w:rPr>
          <w:sz w:val="24"/>
        </w:rPr>
        <w:t>GB15763.3-2009</w:t>
      </w:r>
    </w:p>
    <w:p>
      <w:pPr>
        <w:adjustRightInd w:val="0"/>
        <w:snapToGrid w:val="0"/>
        <w:spacing w:line="360" w:lineRule="auto"/>
        <w:ind w:firstLine="480" w:firstLineChars="200"/>
        <w:outlineLvl w:val="2"/>
        <w:rPr>
          <w:sz w:val="24"/>
        </w:rPr>
      </w:pPr>
      <w:bookmarkStart w:id="4" w:name="_Toc24262"/>
      <w:r>
        <w:rPr>
          <w:rFonts w:hint="eastAsia"/>
          <w:sz w:val="24"/>
        </w:rPr>
        <w:t>47.《半钢化玻璃》GB/T17841-2008</w:t>
      </w:r>
      <w:bookmarkEnd w:id="4"/>
    </w:p>
    <w:p>
      <w:pPr>
        <w:adjustRightInd w:val="0"/>
        <w:snapToGrid w:val="0"/>
        <w:spacing w:line="360" w:lineRule="auto"/>
        <w:ind w:firstLine="480" w:firstLineChars="200"/>
        <w:rPr>
          <w:sz w:val="24"/>
        </w:rPr>
      </w:pPr>
      <w:r>
        <w:rPr>
          <w:rFonts w:hint="eastAsia"/>
          <w:sz w:val="24"/>
        </w:rPr>
        <w:t>48.《镀膜玻璃 第1部分 阳光控制镀膜玻璃》GB/T18915.1-2013</w:t>
      </w:r>
    </w:p>
    <w:p>
      <w:pPr>
        <w:adjustRightInd w:val="0"/>
        <w:snapToGrid w:val="0"/>
        <w:spacing w:line="360" w:lineRule="auto"/>
        <w:ind w:firstLine="480" w:firstLineChars="200"/>
        <w:rPr>
          <w:sz w:val="24"/>
        </w:rPr>
      </w:pPr>
      <w:r>
        <w:rPr>
          <w:rFonts w:hint="eastAsia"/>
          <w:sz w:val="24"/>
        </w:rPr>
        <w:t>49.《镀膜玻璃 第2部分 低辐射镀膜玻璃》GB/T18915.2-2013</w:t>
      </w:r>
    </w:p>
    <w:p>
      <w:pPr>
        <w:adjustRightInd w:val="0"/>
        <w:snapToGrid w:val="0"/>
        <w:spacing w:line="360" w:lineRule="auto"/>
        <w:ind w:firstLine="480" w:firstLineChars="200"/>
        <w:outlineLvl w:val="2"/>
        <w:rPr>
          <w:sz w:val="24"/>
        </w:rPr>
      </w:pPr>
      <w:bookmarkStart w:id="5" w:name="_Toc13360"/>
      <w:r>
        <w:rPr>
          <w:rFonts w:hint="eastAsia"/>
          <w:sz w:val="24"/>
        </w:rPr>
        <w:t>50.《中空玻璃》GB/T11944-2012</w:t>
      </w:r>
      <w:bookmarkEnd w:id="5"/>
    </w:p>
    <w:p>
      <w:pPr>
        <w:adjustRightInd w:val="0"/>
        <w:snapToGrid w:val="0"/>
        <w:spacing w:line="360" w:lineRule="auto"/>
        <w:ind w:firstLine="480" w:firstLineChars="200"/>
        <w:rPr>
          <w:sz w:val="24"/>
        </w:rPr>
      </w:pPr>
      <w:r>
        <w:rPr>
          <w:rFonts w:hint="eastAsia"/>
          <w:sz w:val="24"/>
        </w:rPr>
        <w:t>51.《铝合金建筑型材 第1部分：基材》GB</w:t>
      </w:r>
      <w:r>
        <w:rPr>
          <w:sz w:val="24"/>
        </w:rPr>
        <w:t>/</w:t>
      </w:r>
      <w:r>
        <w:rPr>
          <w:rFonts w:hint="eastAsia"/>
          <w:sz w:val="24"/>
        </w:rPr>
        <w:t>T5237.1-2017</w:t>
      </w:r>
    </w:p>
    <w:p>
      <w:pPr>
        <w:adjustRightInd w:val="0"/>
        <w:snapToGrid w:val="0"/>
        <w:spacing w:line="360" w:lineRule="auto"/>
        <w:ind w:firstLine="480" w:firstLineChars="200"/>
        <w:rPr>
          <w:sz w:val="24"/>
        </w:rPr>
      </w:pPr>
      <w:r>
        <w:rPr>
          <w:rFonts w:hint="eastAsia"/>
          <w:sz w:val="24"/>
        </w:rPr>
        <w:t>52.《铝合金建筑型材 第2部分：阳极氧化型材》GB</w:t>
      </w:r>
      <w:r>
        <w:rPr>
          <w:sz w:val="24"/>
        </w:rPr>
        <w:t>/</w:t>
      </w:r>
      <w:r>
        <w:rPr>
          <w:rFonts w:hint="eastAsia"/>
          <w:sz w:val="24"/>
        </w:rPr>
        <w:t>T5237.2-2017</w:t>
      </w:r>
    </w:p>
    <w:p>
      <w:pPr>
        <w:adjustRightInd w:val="0"/>
        <w:snapToGrid w:val="0"/>
        <w:spacing w:line="360" w:lineRule="auto"/>
        <w:ind w:firstLine="480" w:firstLineChars="200"/>
        <w:rPr>
          <w:sz w:val="24"/>
        </w:rPr>
      </w:pPr>
      <w:r>
        <w:rPr>
          <w:rFonts w:hint="eastAsia"/>
          <w:sz w:val="24"/>
        </w:rPr>
        <w:t>53.《铝合金建筑型材 第3部分：电泳涂漆型材》GB</w:t>
      </w:r>
      <w:r>
        <w:rPr>
          <w:sz w:val="24"/>
        </w:rPr>
        <w:t>/</w:t>
      </w:r>
      <w:r>
        <w:rPr>
          <w:rFonts w:hint="eastAsia"/>
          <w:sz w:val="24"/>
        </w:rPr>
        <w:t>T5237.3-2017</w:t>
      </w:r>
    </w:p>
    <w:p>
      <w:pPr>
        <w:adjustRightInd w:val="0"/>
        <w:snapToGrid w:val="0"/>
        <w:spacing w:line="360" w:lineRule="auto"/>
        <w:ind w:firstLine="480" w:firstLineChars="200"/>
        <w:rPr>
          <w:sz w:val="24"/>
        </w:rPr>
      </w:pPr>
      <w:r>
        <w:rPr>
          <w:rFonts w:hint="eastAsia"/>
          <w:sz w:val="24"/>
        </w:rPr>
        <w:t>54.《铝合金建筑型材 第4部分：喷粉型材》GB</w:t>
      </w:r>
      <w:r>
        <w:rPr>
          <w:sz w:val="24"/>
        </w:rPr>
        <w:t>/</w:t>
      </w:r>
      <w:r>
        <w:rPr>
          <w:rFonts w:hint="eastAsia"/>
          <w:sz w:val="24"/>
        </w:rPr>
        <w:t>T5237.4-2017</w:t>
      </w:r>
    </w:p>
    <w:p>
      <w:pPr>
        <w:adjustRightInd w:val="0"/>
        <w:snapToGrid w:val="0"/>
        <w:spacing w:line="360" w:lineRule="auto"/>
        <w:ind w:firstLine="480" w:firstLineChars="200"/>
        <w:rPr>
          <w:sz w:val="24"/>
        </w:rPr>
      </w:pPr>
      <w:r>
        <w:rPr>
          <w:rFonts w:hint="eastAsia"/>
          <w:sz w:val="24"/>
        </w:rPr>
        <w:t>55.《铝合金建筑型材 第5部分：喷漆型材》GB</w:t>
      </w:r>
      <w:r>
        <w:rPr>
          <w:sz w:val="24"/>
        </w:rPr>
        <w:t>/</w:t>
      </w:r>
      <w:r>
        <w:rPr>
          <w:rFonts w:hint="eastAsia"/>
          <w:sz w:val="24"/>
        </w:rPr>
        <w:t>T5237.5-2017</w:t>
      </w:r>
    </w:p>
    <w:p>
      <w:pPr>
        <w:adjustRightInd w:val="0"/>
        <w:snapToGrid w:val="0"/>
        <w:spacing w:line="360" w:lineRule="auto"/>
        <w:ind w:firstLine="480" w:firstLineChars="200"/>
        <w:rPr>
          <w:sz w:val="24"/>
        </w:rPr>
      </w:pPr>
      <w:r>
        <w:rPr>
          <w:rFonts w:hint="eastAsia"/>
          <w:sz w:val="24"/>
        </w:rPr>
        <w:t>56.《铝合金建筑型材 第6部分：隔热型材》GB</w:t>
      </w:r>
      <w:r>
        <w:rPr>
          <w:sz w:val="24"/>
        </w:rPr>
        <w:t>/</w:t>
      </w:r>
      <w:r>
        <w:rPr>
          <w:rFonts w:hint="eastAsia"/>
          <w:sz w:val="24"/>
        </w:rPr>
        <w:t>T5237.6-2017</w:t>
      </w:r>
    </w:p>
    <w:p>
      <w:pPr>
        <w:adjustRightInd w:val="0"/>
        <w:snapToGrid w:val="0"/>
        <w:spacing w:line="360" w:lineRule="auto"/>
        <w:ind w:firstLine="480" w:firstLineChars="200"/>
        <w:outlineLvl w:val="2"/>
        <w:rPr>
          <w:sz w:val="24"/>
        </w:rPr>
      </w:pPr>
      <w:bookmarkStart w:id="6" w:name="_Toc29024"/>
      <w:r>
        <w:rPr>
          <w:rFonts w:hint="eastAsia"/>
          <w:sz w:val="24"/>
        </w:rPr>
        <w:t>57.《建筑用隔热铝合金型材》JG/T175-2011</w:t>
      </w:r>
      <w:bookmarkEnd w:id="6"/>
    </w:p>
    <w:p>
      <w:pPr>
        <w:adjustRightInd w:val="0"/>
        <w:snapToGrid w:val="0"/>
        <w:spacing w:line="360" w:lineRule="auto"/>
        <w:ind w:firstLine="480" w:firstLineChars="200"/>
        <w:rPr>
          <w:sz w:val="24"/>
        </w:rPr>
      </w:pPr>
      <w:r>
        <w:rPr>
          <w:rFonts w:hint="eastAsia"/>
          <w:sz w:val="24"/>
        </w:rPr>
        <w:t>58.《一般工业用铝及铝合金板、带材》GB/T3880.1～3-2012</w:t>
      </w:r>
    </w:p>
    <w:p>
      <w:pPr>
        <w:adjustRightInd w:val="0"/>
        <w:snapToGrid w:val="0"/>
        <w:spacing w:line="360" w:lineRule="auto"/>
        <w:ind w:firstLine="480" w:firstLineChars="200"/>
        <w:rPr>
          <w:sz w:val="24"/>
        </w:rPr>
      </w:pPr>
      <w:r>
        <w:rPr>
          <w:rFonts w:hint="eastAsia"/>
          <w:sz w:val="24"/>
        </w:rPr>
        <w:t>59.《建筑幕墙用铝塑复合板》GB/T17748-2016</w:t>
      </w:r>
    </w:p>
    <w:p>
      <w:pPr>
        <w:adjustRightInd w:val="0"/>
        <w:snapToGrid w:val="0"/>
        <w:spacing w:line="360" w:lineRule="auto"/>
        <w:ind w:firstLine="480" w:firstLineChars="200"/>
        <w:rPr>
          <w:sz w:val="24"/>
        </w:rPr>
      </w:pPr>
      <w:r>
        <w:rPr>
          <w:rFonts w:hint="eastAsia"/>
          <w:sz w:val="24"/>
        </w:rPr>
        <w:t>60.《天然花岗石建筑板材》GB/T18601-2009</w:t>
      </w:r>
    </w:p>
    <w:p>
      <w:pPr>
        <w:adjustRightInd w:val="0"/>
        <w:snapToGrid w:val="0"/>
        <w:spacing w:line="360" w:lineRule="auto"/>
        <w:ind w:firstLine="480" w:firstLineChars="200"/>
        <w:rPr>
          <w:sz w:val="24"/>
        </w:rPr>
      </w:pPr>
      <w:r>
        <w:rPr>
          <w:rFonts w:hint="eastAsia"/>
          <w:sz w:val="24"/>
        </w:rPr>
        <w:t>61.《天然大理石建筑板材》》GB/T19766-2016</w:t>
      </w:r>
    </w:p>
    <w:p>
      <w:pPr>
        <w:adjustRightInd w:val="0"/>
        <w:snapToGrid w:val="0"/>
        <w:spacing w:line="360" w:lineRule="auto"/>
        <w:ind w:firstLine="480" w:firstLineChars="200"/>
        <w:rPr>
          <w:sz w:val="24"/>
        </w:rPr>
      </w:pPr>
      <w:r>
        <w:rPr>
          <w:rFonts w:hint="eastAsia"/>
          <w:sz w:val="24"/>
        </w:rPr>
        <w:t>62.《天然石材统一编号》GB/T17670-2008</w:t>
      </w:r>
    </w:p>
    <w:p>
      <w:pPr>
        <w:adjustRightInd w:val="0"/>
        <w:snapToGrid w:val="0"/>
        <w:spacing w:line="360" w:lineRule="auto"/>
        <w:ind w:firstLine="480" w:firstLineChars="200"/>
        <w:rPr>
          <w:sz w:val="24"/>
        </w:rPr>
      </w:pPr>
      <w:r>
        <w:rPr>
          <w:rFonts w:hint="eastAsia"/>
          <w:sz w:val="24"/>
        </w:rPr>
        <w:t>63.《干挂石材用金属挂件》GB</w:t>
      </w:r>
      <w:r>
        <w:rPr>
          <w:sz w:val="24"/>
        </w:rPr>
        <w:t>/</w:t>
      </w:r>
      <w:r>
        <w:rPr>
          <w:rFonts w:hint="eastAsia"/>
          <w:sz w:val="24"/>
        </w:rPr>
        <w:t>T32839-2016</w:t>
      </w:r>
    </w:p>
    <w:p>
      <w:pPr>
        <w:adjustRightInd w:val="0"/>
        <w:snapToGrid w:val="0"/>
        <w:spacing w:line="360" w:lineRule="auto"/>
        <w:ind w:firstLine="480" w:firstLineChars="200"/>
        <w:rPr>
          <w:sz w:val="24"/>
        </w:rPr>
      </w:pPr>
      <w:r>
        <w:rPr>
          <w:rFonts w:hint="eastAsia"/>
          <w:sz w:val="24"/>
        </w:rPr>
        <w:t>64.《建筑用硅酮结构密封胶》GB16776-2005</w:t>
      </w:r>
    </w:p>
    <w:p>
      <w:pPr>
        <w:adjustRightInd w:val="0"/>
        <w:snapToGrid w:val="0"/>
        <w:spacing w:line="360" w:lineRule="auto"/>
        <w:ind w:firstLine="480" w:firstLineChars="200"/>
        <w:rPr>
          <w:sz w:val="24"/>
        </w:rPr>
      </w:pPr>
      <w:r>
        <w:rPr>
          <w:rFonts w:hint="eastAsia"/>
          <w:sz w:val="24"/>
        </w:rPr>
        <w:t>65.《</w:t>
      </w:r>
      <w:r>
        <w:rPr>
          <w:sz w:val="24"/>
        </w:rPr>
        <w:t>中空玻璃用丁基热熔密封胶</w:t>
      </w:r>
      <w:r>
        <w:rPr>
          <w:rFonts w:hint="eastAsia"/>
          <w:sz w:val="24"/>
        </w:rPr>
        <w:t>》JC/T914-2014</w:t>
      </w:r>
    </w:p>
    <w:p>
      <w:pPr>
        <w:adjustRightInd w:val="0"/>
        <w:snapToGrid w:val="0"/>
        <w:spacing w:line="360" w:lineRule="auto"/>
        <w:ind w:firstLine="480" w:firstLineChars="200"/>
        <w:rPr>
          <w:sz w:val="24"/>
        </w:rPr>
      </w:pPr>
      <w:r>
        <w:rPr>
          <w:rFonts w:hint="eastAsia"/>
          <w:sz w:val="24"/>
        </w:rPr>
        <w:t>66.《幕墙玻璃接缝密封胶》JC/T882-2001</w:t>
      </w:r>
    </w:p>
    <w:p>
      <w:pPr>
        <w:adjustRightInd w:val="0"/>
        <w:snapToGrid w:val="0"/>
        <w:spacing w:line="360" w:lineRule="auto"/>
        <w:ind w:firstLine="480" w:firstLineChars="200"/>
        <w:rPr>
          <w:sz w:val="24"/>
        </w:rPr>
      </w:pPr>
      <w:r>
        <w:rPr>
          <w:rFonts w:hint="eastAsia"/>
          <w:sz w:val="24"/>
        </w:rPr>
        <w:t>67.《干挂石材幕墙用环氧胶粘剂》JC887-2001</w:t>
      </w:r>
    </w:p>
    <w:p>
      <w:pPr>
        <w:adjustRightInd w:val="0"/>
        <w:snapToGrid w:val="0"/>
        <w:spacing w:line="360" w:lineRule="auto"/>
        <w:ind w:firstLine="480" w:firstLineChars="200"/>
        <w:rPr>
          <w:sz w:val="24"/>
        </w:rPr>
      </w:pPr>
      <w:r>
        <w:rPr>
          <w:rFonts w:hint="eastAsia"/>
          <w:sz w:val="24"/>
        </w:rPr>
        <w:t>68.《石材用建筑密封胶》JC/T883-2001</w:t>
      </w:r>
    </w:p>
    <w:p>
      <w:pPr>
        <w:adjustRightInd w:val="0"/>
        <w:snapToGrid w:val="0"/>
        <w:spacing w:line="360" w:lineRule="auto"/>
        <w:ind w:firstLine="480" w:firstLineChars="200"/>
        <w:rPr>
          <w:sz w:val="24"/>
        </w:rPr>
      </w:pPr>
      <w:r>
        <w:rPr>
          <w:rFonts w:hint="eastAsia"/>
          <w:sz w:val="24"/>
        </w:rPr>
        <w:t>69.《建筑幕墙用槽式预埋组件》</w:t>
      </w:r>
      <w:r>
        <w:rPr>
          <w:sz w:val="24"/>
        </w:rPr>
        <w:t>GB/T38525-2020</w:t>
      </w:r>
    </w:p>
    <w:p>
      <w:pPr>
        <w:adjustRightInd w:val="0"/>
        <w:snapToGrid w:val="0"/>
        <w:spacing w:line="360" w:lineRule="auto"/>
        <w:ind w:firstLine="480" w:firstLineChars="200"/>
        <w:rPr>
          <w:sz w:val="24"/>
        </w:rPr>
      </w:pPr>
      <w:r>
        <w:rPr>
          <w:rFonts w:hint="eastAsia"/>
          <w:sz w:val="24"/>
        </w:rPr>
        <w:t>70.《绝热用岩棉、矿渣棉及其制品》GB/T11835-2016</w:t>
      </w:r>
    </w:p>
    <w:p>
      <w:pPr>
        <w:adjustRightInd w:val="0"/>
        <w:snapToGrid w:val="0"/>
        <w:spacing w:line="360" w:lineRule="auto"/>
        <w:ind w:firstLine="480" w:firstLineChars="200"/>
        <w:rPr>
          <w:sz w:val="24"/>
        </w:rPr>
      </w:pPr>
      <w:r>
        <w:rPr>
          <w:rFonts w:hint="eastAsia"/>
          <w:sz w:val="24"/>
        </w:rPr>
        <w:t>71.《建筑材料及制品燃烧性能分级》GB8624-2012</w:t>
      </w:r>
    </w:p>
    <w:p>
      <w:pPr>
        <w:adjustRightInd w:val="0"/>
        <w:snapToGrid w:val="0"/>
        <w:spacing w:line="360" w:lineRule="auto"/>
        <w:ind w:firstLine="480" w:firstLineChars="200"/>
        <w:rPr>
          <w:sz w:val="24"/>
        </w:rPr>
      </w:pPr>
      <w:r>
        <w:rPr>
          <w:rFonts w:hint="eastAsia"/>
          <w:sz w:val="24"/>
        </w:rPr>
        <w:t>72.《人造板材幕墙工程技术规范》</w:t>
      </w:r>
      <w:r>
        <w:rPr>
          <w:sz w:val="24"/>
        </w:rPr>
        <w:t>JGJ336-2016</w:t>
      </w:r>
    </w:p>
    <w:p>
      <w:pPr>
        <w:adjustRightInd w:val="0"/>
        <w:snapToGrid w:val="0"/>
        <w:spacing w:line="360" w:lineRule="auto"/>
        <w:ind w:firstLine="480" w:firstLineChars="200"/>
        <w:rPr>
          <w:sz w:val="24"/>
        </w:rPr>
      </w:pPr>
      <w:r>
        <w:rPr>
          <w:rFonts w:hint="eastAsia"/>
          <w:sz w:val="24"/>
        </w:rPr>
        <w:t>73.《</w:t>
      </w:r>
      <w:r>
        <w:rPr>
          <w:sz w:val="24"/>
        </w:rPr>
        <w:t>玻璃纤维增强水泥(GRC)建筑应用技术标准</w:t>
      </w:r>
      <w:r>
        <w:rPr>
          <w:rFonts w:hint="eastAsia"/>
          <w:sz w:val="24"/>
        </w:rPr>
        <w:t>》</w:t>
      </w:r>
      <w:r>
        <w:rPr>
          <w:sz w:val="24"/>
        </w:rPr>
        <w:t>JGJ/T423-2018</w:t>
      </w:r>
    </w:p>
    <w:p>
      <w:pPr>
        <w:adjustRightInd w:val="0"/>
        <w:snapToGrid w:val="0"/>
        <w:spacing w:line="360" w:lineRule="auto"/>
        <w:ind w:firstLine="480" w:firstLineChars="200"/>
        <w:rPr>
          <w:sz w:val="24"/>
        </w:rPr>
      </w:pPr>
      <w:r>
        <w:rPr>
          <w:rFonts w:hint="eastAsia"/>
          <w:sz w:val="24"/>
        </w:rPr>
        <w:t>74.《建筑门窗、幕墙用密封胶条》GB/T24498-2009</w:t>
      </w:r>
    </w:p>
    <w:p>
      <w:pPr>
        <w:adjustRightInd w:val="0"/>
        <w:snapToGrid w:val="0"/>
        <w:spacing w:line="360" w:lineRule="auto"/>
        <w:ind w:firstLine="480" w:firstLineChars="200"/>
        <w:rPr>
          <w:sz w:val="24"/>
        </w:rPr>
      </w:pPr>
      <w:r>
        <w:rPr>
          <w:rFonts w:hint="eastAsia"/>
          <w:sz w:val="24"/>
        </w:rPr>
        <w:t>75.《建筑外墙外保温用岩棉制品》</w:t>
      </w:r>
      <w:r>
        <w:rPr>
          <w:sz w:val="24"/>
        </w:rPr>
        <w:t>GB/T25975-2018</w:t>
      </w:r>
    </w:p>
    <w:p>
      <w:pPr>
        <w:adjustRightInd w:val="0"/>
        <w:snapToGrid w:val="0"/>
        <w:spacing w:line="360" w:lineRule="auto"/>
        <w:ind w:firstLine="480" w:firstLineChars="200"/>
        <w:rPr>
          <w:sz w:val="24"/>
        </w:rPr>
      </w:pPr>
      <w:r>
        <w:rPr>
          <w:rFonts w:hint="eastAsia"/>
          <w:sz w:val="24"/>
        </w:rPr>
        <w:t>76.《建筑用岩棉绝热制品》GB/T19686-2015</w:t>
      </w:r>
    </w:p>
    <w:p>
      <w:pPr>
        <w:adjustRightInd w:val="0"/>
        <w:snapToGrid w:val="0"/>
        <w:spacing w:line="360" w:lineRule="auto"/>
        <w:ind w:firstLine="480" w:firstLineChars="200"/>
        <w:rPr>
          <w:sz w:val="24"/>
        </w:rPr>
      </w:pPr>
      <w:r>
        <w:rPr>
          <w:rFonts w:hint="eastAsia"/>
          <w:sz w:val="24"/>
        </w:rPr>
        <w:t>77.《建筑幕墙用瓷板》JG/T217-2007</w:t>
      </w:r>
    </w:p>
    <w:p>
      <w:pPr>
        <w:adjustRightInd w:val="0"/>
        <w:snapToGrid w:val="0"/>
        <w:spacing w:line="360" w:lineRule="auto"/>
        <w:ind w:firstLine="480" w:firstLineChars="200"/>
        <w:rPr>
          <w:sz w:val="24"/>
        </w:rPr>
      </w:pPr>
      <w:r>
        <w:rPr>
          <w:rFonts w:hint="eastAsia"/>
          <w:sz w:val="24"/>
        </w:rPr>
        <w:t>78.《建筑幕墙用陶板》JG/T324-2011</w:t>
      </w:r>
    </w:p>
    <w:p>
      <w:pPr>
        <w:adjustRightInd w:val="0"/>
        <w:snapToGrid w:val="0"/>
        <w:spacing w:line="360" w:lineRule="auto"/>
        <w:ind w:firstLine="480" w:firstLineChars="200"/>
        <w:rPr>
          <w:sz w:val="24"/>
        </w:rPr>
      </w:pPr>
      <w:r>
        <w:rPr>
          <w:rFonts w:hint="eastAsia"/>
          <w:sz w:val="24"/>
        </w:rPr>
        <w:t>79.《建筑采光设计标准》GB/T50033-2013</w:t>
      </w:r>
    </w:p>
    <w:p>
      <w:pPr>
        <w:adjustRightInd w:val="0"/>
        <w:snapToGrid w:val="0"/>
        <w:spacing w:line="360" w:lineRule="auto"/>
        <w:ind w:firstLine="480" w:firstLineChars="200"/>
        <w:rPr>
          <w:sz w:val="24"/>
        </w:rPr>
      </w:pPr>
      <w:r>
        <w:rPr>
          <w:rFonts w:hint="eastAsia"/>
          <w:sz w:val="24"/>
        </w:rPr>
        <w:t>80.《民用建筑热工设计规范》GB50176-2016</w:t>
      </w:r>
    </w:p>
    <w:p>
      <w:pPr>
        <w:adjustRightInd w:val="0"/>
        <w:snapToGrid w:val="0"/>
        <w:spacing w:line="360" w:lineRule="auto"/>
        <w:ind w:firstLine="480" w:firstLineChars="200"/>
        <w:rPr>
          <w:sz w:val="24"/>
        </w:rPr>
      </w:pPr>
      <w:r>
        <w:rPr>
          <w:rFonts w:hint="eastAsia"/>
          <w:sz w:val="24"/>
        </w:rPr>
        <w:t>81.《既有居住建筑节能改造技术规程》JGJ/T129-2012</w:t>
      </w:r>
    </w:p>
    <w:p>
      <w:pPr>
        <w:adjustRightInd w:val="0"/>
        <w:snapToGrid w:val="0"/>
        <w:spacing w:line="360" w:lineRule="auto"/>
        <w:ind w:firstLine="480" w:firstLineChars="200"/>
        <w:rPr>
          <w:sz w:val="24"/>
        </w:rPr>
      </w:pPr>
      <w:r>
        <w:rPr>
          <w:rFonts w:hint="eastAsia"/>
          <w:sz w:val="24"/>
        </w:rPr>
        <w:t>82.《防雷安全管理规范》</w:t>
      </w:r>
      <w:r>
        <w:rPr>
          <w:sz w:val="24"/>
        </w:rPr>
        <w:t>QX/T309-20</w:t>
      </w:r>
      <w:r>
        <w:rPr>
          <w:rFonts w:hint="eastAsia"/>
          <w:sz w:val="24"/>
        </w:rPr>
        <w:t>17</w:t>
      </w:r>
    </w:p>
    <w:p>
      <w:pPr>
        <w:adjustRightInd w:val="0"/>
        <w:snapToGrid w:val="0"/>
        <w:spacing w:line="360" w:lineRule="auto"/>
        <w:ind w:firstLine="480" w:firstLineChars="200"/>
        <w:rPr>
          <w:sz w:val="24"/>
        </w:rPr>
      </w:pPr>
      <w:r>
        <w:rPr>
          <w:rFonts w:hint="eastAsia"/>
          <w:sz w:val="24"/>
        </w:rPr>
        <w:t>83.《电动采光排烟天窗》GB/T28637-2012</w:t>
      </w:r>
    </w:p>
    <w:p>
      <w:pPr>
        <w:adjustRightInd w:val="0"/>
        <w:snapToGrid w:val="0"/>
        <w:spacing w:line="360" w:lineRule="auto"/>
        <w:ind w:firstLine="480" w:firstLineChars="200"/>
        <w:rPr>
          <w:sz w:val="24"/>
        </w:rPr>
      </w:pPr>
      <w:r>
        <w:rPr>
          <w:rFonts w:hint="eastAsia"/>
          <w:sz w:val="24"/>
        </w:rPr>
        <w:t>84.《屋面工程质量验收规范》GB50207-2012</w:t>
      </w:r>
    </w:p>
    <w:p>
      <w:pPr>
        <w:adjustRightInd w:val="0"/>
        <w:snapToGrid w:val="0"/>
        <w:spacing w:line="360" w:lineRule="auto"/>
        <w:ind w:firstLine="480" w:firstLineChars="200"/>
        <w:rPr>
          <w:sz w:val="24"/>
        </w:rPr>
      </w:pPr>
      <w:r>
        <w:rPr>
          <w:rFonts w:hint="eastAsia"/>
          <w:sz w:val="24"/>
        </w:rPr>
        <w:t>85.《建筑幕墙、门窗通用技术条件》GB/T31433-2015</w:t>
      </w:r>
    </w:p>
    <w:p>
      <w:pPr>
        <w:adjustRightInd w:val="0"/>
        <w:snapToGrid w:val="0"/>
        <w:spacing w:line="360" w:lineRule="auto"/>
        <w:ind w:firstLine="480" w:firstLineChars="200"/>
        <w:rPr>
          <w:sz w:val="24"/>
        </w:rPr>
      </w:pPr>
      <w:r>
        <w:rPr>
          <w:rFonts w:hint="eastAsia"/>
          <w:sz w:val="24"/>
        </w:rPr>
        <w:t>86.《擦窗机》GB/T19154-2017</w:t>
      </w:r>
    </w:p>
    <w:p>
      <w:pPr>
        <w:adjustRightInd w:val="0"/>
        <w:snapToGrid w:val="0"/>
        <w:spacing w:line="360" w:lineRule="auto"/>
        <w:ind w:firstLine="480" w:firstLineChars="200"/>
        <w:rPr>
          <w:sz w:val="24"/>
        </w:rPr>
      </w:pPr>
      <w:r>
        <w:rPr>
          <w:rFonts w:hint="eastAsia"/>
          <w:sz w:val="24"/>
        </w:rPr>
        <w:t>87.《真空玻璃》</w:t>
      </w:r>
      <w:r>
        <w:rPr>
          <w:sz w:val="24"/>
        </w:rPr>
        <w:t>GB/T38586-2020</w:t>
      </w:r>
    </w:p>
    <w:p>
      <w:pPr>
        <w:adjustRightInd w:val="0"/>
        <w:snapToGrid w:val="0"/>
        <w:spacing w:line="360" w:lineRule="auto"/>
        <w:ind w:firstLine="480" w:firstLineChars="200"/>
        <w:rPr>
          <w:rFonts w:hint="eastAsia"/>
          <w:sz w:val="24"/>
        </w:rPr>
      </w:pPr>
      <w:r>
        <w:rPr>
          <w:rFonts w:hint="eastAsia"/>
          <w:sz w:val="24"/>
        </w:rPr>
        <w:t>88.《天然石材术语》GB/T13890-2008</w:t>
      </w:r>
    </w:p>
    <w:p>
      <w:pPr>
        <w:adjustRightInd w:val="0"/>
        <w:snapToGrid w:val="0"/>
        <w:spacing w:line="360" w:lineRule="auto"/>
        <w:ind w:firstLine="480" w:firstLineChars="200"/>
        <w:rPr>
          <w:sz w:val="24"/>
        </w:rPr>
      </w:pPr>
      <w:r>
        <w:rPr>
          <w:rFonts w:hint="eastAsia"/>
          <w:sz w:val="24"/>
        </w:rPr>
        <w:t>89..建标【2015】38号 关于进一步加强玻璃幕墙安全防护工作的通知（住房城乡建设部国家安全监管总局）</w:t>
      </w:r>
    </w:p>
    <w:p>
      <w:pPr>
        <w:adjustRightInd w:val="0"/>
        <w:snapToGrid w:val="0"/>
        <w:spacing w:line="360" w:lineRule="auto"/>
        <w:ind w:firstLine="480" w:firstLineChars="200"/>
        <w:rPr>
          <w:sz w:val="24"/>
        </w:rPr>
      </w:pPr>
      <w:r>
        <w:rPr>
          <w:rFonts w:hint="eastAsia"/>
          <w:sz w:val="24"/>
        </w:rPr>
        <w:t>90.中装协【2016】89号 关于印发《关于淘汰建筑幕墙落后产品和技术的指导意见》的通知</w:t>
      </w:r>
    </w:p>
    <w:p>
      <w:pPr>
        <w:adjustRightInd w:val="0"/>
        <w:snapToGrid w:val="0"/>
        <w:spacing w:line="360" w:lineRule="auto"/>
        <w:ind w:firstLine="480" w:firstLineChars="200"/>
        <w:rPr>
          <w:sz w:val="24"/>
        </w:rPr>
      </w:pPr>
      <w:r>
        <w:rPr>
          <w:rFonts w:hint="eastAsia"/>
          <w:sz w:val="24"/>
        </w:rPr>
        <w:t>注：上文未列的标准、规范以国家、行业、团体现行标准、规范为准。</w:t>
      </w:r>
    </w:p>
    <w:p>
      <w:pPr>
        <w:adjustRightInd w:val="0"/>
        <w:snapToGrid w:val="0"/>
        <w:spacing w:line="319" w:lineRule="auto"/>
        <w:rPr>
          <w:sz w:val="24"/>
        </w:rPr>
      </w:pPr>
    </w:p>
    <w:p>
      <w:pPr>
        <w:sectPr>
          <w:pgSz w:w="11906" w:h="16838"/>
          <w:pgMar w:top="1440" w:right="1247" w:bottom="1440" w:left="1587" w:header="851" w:footer="992" w:gutter="0"/>
          <w:pgNumType w:fmt="numberInDash"/>
          <w:cols w:space="720" w:num="1"/>
          <w:docGrid w:type="lines" w:linePitch="312" w:charSpace="0"/>
        </w:sectPr>
      </w:pPr>
    </w:p>
    <w:p>
      <w:pPr>
        <w:jc w:val="center"/>
        <w:rPr>
          <w:rFonts w:ascii="宋体" w:hAnsi="宋体"/>
          <w:bCs/>
          <w:sz w:val="10"/>
          <w:szCs w:val="10"/>
        </w:rPr>
      </w:pPr>
      <w:r>
        <w:rPr>
          <w:rFonts w:hint="eastAsia" w:ascii="黑体" w:hAnsi="黑体" w:eastAsia="黑体"/>
          <w:b/>
          <w:bCs/>
          <w:sz w:val="30"/>
          <w:szCs w:val="30"/>
        </w:rPr>
        <w:t>四、工程复查实施细则</w:t>
      </w:r>
      <w:r>
        <w:rPr>
          <w:rFonts w:hint="eastAsia" w:ascii="宋体" w:hAnsi="宋体"/>
          <w:bCs/>
          <w:sz w:val="30"/>
          <w:szCs w:val="30"/>
        </w:rPr>
        <w:t>——建筑幕墙类</w:t>
      </w:r>
      <w:r>
        <w:rPr>
          <w:rFonts w:hint="eastAsia"/>
          <w:sz w:val="24"/>
        </w:rPr>
        <w:t>（建筑幕墙工程）</w:t>
      </w:r>
    </w:p>
    <w:tbl>
      <w:tblPr>
        <w:tblStyle w:val="2"/>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ascii="宋体" w:hAnsi="宋体"/>
                <w:szCs w:val="21"/>
              </w:rPr>
              <w:t>1</w:t>
            </w:r>
          </w:p>
        </w:tc>
        <w:tc>
          <w:tcPr>
            <w:tcW w:w="1277" w:type="dxa"/>
            <w:vMerge w:val="restart"/>
            <w:tcBorders>
              <w:top w:val="single" w:color="auto" w:sz="4" w:space="0"/>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黑体" w:hAnsi="黑体" w:eastAsia="黑体"/>
                <w:szCs w:val="21"/>
              </w:rPr>
            </w:pPr>
            <w:r>
              <w:rPr>
                <w:rFonts w:hint="eastAsia" w:ascii="黑体" w:hAnsi="黑体" w:eastAsia="黑体"/>
                <w:szCs w:val="21"/>
              </w:rPr>
              <w:t>必要文件：</w:t>
            </w:r>
          </w:p>
          <w:p>
            <w:pPr>
              <w:pStyle w:val="4"/>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企业营业执照、资质等级证书、安全生产许可证（此三项上一年度参评的单位可提供在有效期内的加盖本单位公章的复印件）；</w:t>
            </w:r>
          </w:p>
          <w:p>
            <w:pPr>
              <w:pStyle w:val="4"/>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项目经理注册建造师证书、安全生产考核合格证书；</w:t>
            </w:r>
          </w:p>
          <w:p>
            <w:pPr>
              <w:pStyle w:val="4"/>
              <w:snapToGrid w:val="0"/>
              <w:spacing w:line="276" w:lineRule="auto"/>
              <w:ind w:firstLine="0" w:firstLineChars="0"/>
              <w:rPr>
                <w:rFonts w:ascii="宋体" w:hAnsi="宋体"/>
                <w:szCs w:val="21"/>
              </w:rPr>
            </w:pPr>
            <w:r>
              <w:rPr>
                <w:rFonts w:ascii="宋体" w:hAnsi="宋体"/>
                <w:szCs w:val="21"/>
              </w:rPr>
              <w:t>3.</w:t>
            </w:r>
            <w:r>
              <w:rPr>
                <w:rFonts w:hint="eastAsia" w:ascii="宋体" w:hAnsi="宋体"/>
                <w:szCs w:val="21"/>
              </w:rPr>
              <w:t>幕墙工程施工合同（含施工范围、面积、金额）；</w:t>
            </w:r>
          </w:p>
          <w:p>
            <w:pPr>
              <w:pStyle w:val="4"/>
              <w:snapToGrid w:val="0"/>
              <w:spacing w:line="276"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施工许可证（施工许可证不单独发给幕墙工程的，可以用总包单位的施工许可证）；</w:t>
            </w:r>
          </w:p>
          <w:p>
            <w:pPr>
              <w:pStyle w:val="4"/>
              <w:snapToGrid w:val="0"/>
              <w:spacing w:line="276" w:lineRule="auto"/>
              <w:ind w:firstLine="0" w:firstLineChars="0"/>
              <w:rPr>
                <w:rFonts w:ascii="宋体" w:hAnsi="宋体"/>
                <w:szCs w:val="21"/>
              </w:rPr>
            </w:pPr>
            <w:r>
              <w:rPr>
                <w:rFonts w:ascii="宋体" w:hAnsi="宋体"/>
                <w:szCs w:val="21"/>
              </w:rPr>
              <w:t>5.</w:t>
            </w:r>
            <w:r>
              <w:rPr>
                <w:rFonts w:hint="eastAsia" w:ascii="宋体" w:hAnsi="宋体"/>
                <w:szCs w:val="21"/>
              </w:rPr>
              <w:t>幕墙单项竣工验收资料（签章必须齐全）;</w:t>
            </w:r>
          </w:p>
          <w:p>
            <w:pPr>
              <w:pStyle w:val="4"/>
              <w:snapToGrid w:val="0"/>
              <w:spacing w:line="276" w:lineRule="auto"/>
              <w:ind w:firstLine="0" w:firstLineChars="0"/>
              <w:rPr>
                <w:rFonts w:ascii="宋体" w:hAnsi="宋体"/>
                <w:szCs w:val="21"/>
              </w:rPr>
            </w:pPr>
            <w:r>
              <w:rPr>
                <w:rFonts w:ascii="宋体" w:hAnsi="宋体"/>
                <w:szCs w:val="21"/>
              </w:rPr>
              <w:t>6.</w:t>
            </w:r>
            <w:r>
              <w:rPr>
                <w:rFonts w:hint="eastAsia" w:ascii="宋体" w:hAnsi="宋体"/>
                <w:szCs w:val="21"/>
              </w:rPr>
              <w:t>消防验收（工程名称、验收范围、主管部门公章、日期必须齐全；结论为合格；消防验收意见书中提出的整改意见如涉及幕墙部分应有有关部门的复查合格记录）；</w:t>
            </w:r>
          </w:p>
          <w:p>
            <w:pPr>
              <w:pStyle w:val="4"/>
              <w:snapToGrid w:val="0"/>
              <w:spacing w:line="276" w:lineRule="auto"/>
              <w:ind w:firstLine="0" w:firstLineChars="0"/>
              <w:rPr>
                <w:rFonts w:ascii="宋体" w:hAnsi="宋体"/>
                <w:szCs w:val="21"/>
              </w:rPr>
            </w:pPr>
            <w:r>
              <w:rPr>
                <w:rFonts w:ascii="宋体" w:hAnsi="宋体"/>
                <w:szCs w:val="21"/>
              </w:rPr>
              <w:t>7.</w:t>
            </w:r>
            <w:r>
              <w:rPr>
                <w:rFonts w:hint="eastAsia" w:ascii="宋体" w:hAnsi="宋体"/>
                <w:szCs w:val="21"/>
              </w:rPr>
              <w:t>工程验收合格备案证书。</w:t>
            </w:r>
          </w:p>
        </w:tc>
        <w:tc>
          <w:tcPr>
            <w:tcW w:w="2409"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left"/>
              <w:rPr>
                <w:rFonts w:hint="eastAsia" w:ascii="宋体" w:hAnsi="宋体"/>
                <w:szCs w:val="21"/>
              </w:rPr>
            </w:pPr>
          </w:p>
          <w:p>
            <w:pPr>
              <w:snapToGrid w:val="0"/>
              <w:spacing w:line="288" w:lineRule="auto"/>
              <w:jc w:val="left"/>
              <w:rPr>
                <w:rFonts w:ascii="宋体" w:hAnsi="宋体"/>
                <w:szCs w:val="21"/>
              </w:rPr>
            </w:pPr>
            <w:r>
              <w:rPr>
                <w:rFonts w:hint="eastAsia" w:ascii="宋体" w:hAnsi="宋体"/>
                <w:szCs w:val="21"/>
              </w:rPr>
              <w:t>1.必要文件有一项不合格或不符合要求者不予评审。</w:t>
            </w:r>
          </w:p>
          <w:p>
            <w:pPr>
              <w:snapToGrid w:val="0"/>
              <w:spacing w:line="288" w:lineRule="auto"/>
              <w:jc w:val="left"/>
              <w:rPr>
                <w:rFonts w:ascii="宋体" w:hAnsi="宋体"/>
                <w:szCs w:val="21"/>
              </w:rPr>
            </w:pPr>
            <w:r>
              <w:rPr>
                <w:rFonts w:hint="eastAsia" w:ascii="宋体" w:hAnsi="宋体"/>
                <w:szCs w:val="21"/>
              </w:rPr>
              <w:t>2.主要材料质量严重不符合标准、规范和设计要求（每项扣3-5分）；</w:t>
            </w:r>
          </w:p>
          <w:p>
            <w:pPr>
              <w:snapToGrid w:val="0"/>
              <w:spacing w:line="288" w:lineRule="auto"/>
              <w:jc w:val="left"/>
              <w:rPr>
                <w:rFonts w:ascii="宋体" w:hAnsi="宋体"/>
                <w:szCs w:val="21"/>
              </w:rPr>
            </w:pPr>
            <w:r>
              <w:rPr>
                <w:rFonts w:hint="eastAsia" w:ascii="宋体" w:hAnsi="宋体"/>
                <w:szCs w:val="21"/>
              </w:rPr>
              <w:t>3.提供的主材质量证明资料与工程所用材料不符（每项扣1-2分）；</w:t>
            </w:r>
          </w:p>
          <w:p>
            <w:pPr>
              <w:snapToGrid w:val="0"/>
              <w:spacing w:line="288" w:lineRule="auto"/>
              <w:jc w:val="left"/>
              <w:rPr>
                <w:rFonts w:ascii="宋体" w:hAnsi="宋体"/>
                <w:szCs w:val="21"/>
              </w:rPr>
            </w:pPr>
            <w:r>
              <w:rPr>
                <w:rFonts w:hint="eastAsia" w:ascii="宋体" w:hAnsi="宋体"/>
                <w:szCs w:val="21"/>
              </w:rPr>
              <w:t>4.使用不合格胶或过期胶（每项扣2-3分）；</w:t>
            </w:r>
          </w:p>
          <w:p>
            <w:pPr>
              <w:snapToGrid w:val="0"/>
              <w:spacing w:line="288" w:lineRule="auto"/>
              <w:jc w:val="left"/>
              <w:rPr>
                <w:rFonts w:ascii="宋体" w:hAnsi="宋体"/>
                <w:szCs w:val="21"/>
              </w:rPr>
            </w:pPr>
            <w:r>
              <w:rPr>
                <w:rFonts w:hint="eastAsia" w:ascii="宋体" w:hAnsi="宋体"/>
                <w:szCs w:val="21"/>
              </w:rPr>
              <w:t>5.施工现场打结构胶（全玻璃幕墙除外）（每项扣0.5-1分）；</w:t>
            </w:r>
          </w:p>
          <w:p>
            <w:pPr>
              <w:snapToGrid w:val="0"/>
              <w:spacing w:line="288" w:lineRule="auto"/>
              <w:jc w:val="left"/>
              <w:rPr>
                <w:rFonts w:ascii="宋体" w:hAnsi="宋体"/>
                <w:szCs w:val="21"/>
              </w:rPr>
            </w:pPr>
            <w:r>
              <w:rPr>
                <w:rFonts w:hint="eastAsia" w:ascii="宋体" w:hAnsi="宋体"/>
                <w:szCs w:val="21"/>
              </w:rPr>
              <w:t>6.无物理性能检测报告（每项扣0.5-1分）；</w:t>
            </w:r>
          </w:p>
          <w:p>
            <w:pPr>
              <w:snapToGrid w:val="0"/>
              <w:spacing w:line="288" w:lineRule="auto"/>
              <w:jc w:val="left"/>
              <w:rPr>
                <w:rFonts w:ascii="宋体" w:hAnsi="宋体"/>
                <w:szCs w:val="21"/>
              </w:rPr>
            </w:pPr>
            <w:r>
              <w:rPr>
                <w:rFonts w:hint="eastAsia" w:ascii="宋体" w:hAnsi="宋体"/>
                <w:szCs w:val="21"/>
              </w:rPr>
              <w:t>7.后置埋件、石材背栓未进行现场拉拨力检测（每项扣0.5-1分）；</w:t>
            </w:r>
          </w:p>
          <w:p>
            <w:pPr>
              <w:snapToGrid w:val="0"/>
              <w:spacing w:line="288" w:lineRule="auto"/>
              <w:jc w:val="left"/>
              <w:rPr>
                <w:rFonts w:ascii="宋体" w:hAnsi="宋体"/>
                <w:szCs w:val="21"/>
              </w:rPr>
            </w:pPr>
            <w:r>
              <w:rPr>
                <w:rFonts w:hint="eastAsia" w:ascii="宋体" w:hAnsi="宋体"/>
                <w:szCs w:val="21"/>
              </w:rPr>
              <w:t>8.石材未做抗弯强度检验（每项扣0.2-0.5分）；</w:t>
            </w:r>
          </w:p>
          <w:p>
            <w:pPr>
              <w:snapToGrid w:val="0"/>
              <w:spacing w:line="288" w:lineRule="auto"/>
              <w:jc w:val="left"/>
              <w:rPr>
                <w:rFonts w:ascii="宋体" w:hAnsi="宋体"/>
                <w:szCs w:val="21"/>
              </w:rPr>
            </w:pPr>
            <w:r>
              <w:rPr>
                <w:rFonts w:hint="eastAsia" w:ascii="宋体" w:hAnsi="宋体"/>
                <w:szCs w:val="21"/>
              </w:rPr>
              <w:t>9.无硅酮结构胶的相容性、粘结性试验报告（每项扣0.5-1分）；</w:t>
            </w:r>
          </w:p>
          <w:p>
            <w:pPr>
              <w:snapToGrid w:val="0"/>
              <w:spacing w:line="288" w:lineRule="auto"/>
              <w:jc w:val="left"/>
              <w:rPr>
                <w:rFonts w:ascii="宋体" w:hAnsi="宋体"/>
                <w:szCs w:val="21"/>
              </w:rPr>
            </w:pPr>
            <w:r>
              <w:rPr>
                <w:rFonts w:hint="eastAsia" w:ascii="宋体" w:hAnsi="宋体"/>
                <w:szCs w:val="21"/>
              </w:rPr>
              <w:t>10.其它不符合要求或不合规情况（每项扣0.5-1分）</w:t>
            </w:r>
          </w:p>
        </w:tc>
        <w:tc>
          <w:tcPr>
            <w:tcW w:w="1701" w:type="dxa"/>
            <w:tcBorders>
              <w:top w:val="single" w:color="auto" w:sz="4" w:space="0"/>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必要文件应为原件或可网查的电子文件打印件并加盖申报单位鲜章</w:t>
            </w:r>
          </w:p>
        </w:tc>
        <w:tc>
          <w:tcPr>
            <w:tcW w:w="851"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20分</w:t>
            </w:r>
          </w:p>
        </w:tc>
        <w:tc>
          <w:tcPr>
            <w:tcW w:w="2268" w:type="dxa"/>
            <w:tcBorders>
              <w:top w:val="single" w:color="auto" w:sz="4" w:space="0"/>
              <w:left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查：相关文件资料原件或电子证件（提供网查链接）；</w:t>
            </w:r>
          </w:p>
          <w:p>
            <w:pPr>
              <w:snapToGrid w:val="0"/>
              <w:spacing w:line="276" w:lineRule="auto"/>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hint="eastAsia" w:ascii="黑体" w:hAnsi="黑体" w:eastAsia="黑体"/>
                <w:szCs w:val="21"/>
              </w:rPr>
            </w:pPr>
          </w:p>
          <w:p>
            <w:pPr>
              <w:snapToGrid w:val="0"/>
              <w:spacing w:line="276" w:lineRule="auto"/>
              <w:rPr>
                <w:rFonts w:ascii="黑体" w:hAnsi="黑体" w:eastAsia="黑体"/>
                <w:spacing w:val="-4"/>
                <w:szCs w:val="21"/>
              </w:rPr>
            </w:pPr>
            <w:r>
              <w:rPr>
                <w:rFonts w:hint="eastAsia" w:ascii="黑体" w:hAnsi="黑体" w:eastAsia="黑体"/>
                <w:szCs w:val="21"/>
              </w:rPr>
              <w:t>质量管理资料：</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1.应提供施工组织设计、施工日志、技术交底等及危险性较大分部分项工程论证报告。</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2</w:t>
            </w:r>
            <w:r>
              <w:rPr>
                <w:rFonts w:ascii="宋体" w:hAnsi="宋体"/>
                <w:spacing w:val="-4"/>
                <w:szCs w:val="21"/>
              </w:rPr>
              <w:t>.</w:t>
            </w:r>
            <w:r>
              <w:rPr>
                <w:rFonts w:hint="eastAsia" w:ascii="宋体" w:hAnsi="宋体"/>
                <w:spacing w:val="-4"/>
                <w:szCs w:val="21"/>
              </w:rPr>
              <w:t>幕墙使用的主要材料应符合标准、规范要求，符合设计要求。应有出厂合格证、检测报告；</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3</w:t>
            </w:r>
            <w:r>
              <w:rPr>
                <w:rFonts w:ascii="宋体" w:hAnsi="宋体"/>
                <w:spacing w:val="-4"/>
                <w:szCs w:val="21"/>
              </w:rPr>
              <w:t>.</w:t>
            </w:r>
            <w:r>
              <w:rPr>
                <w:rFonts w:hint="eastAsia" w:ascii="宋体" w:hAnsi="宋体"/>
                <w:spacing w:val="-4"/>
                <w:szCs w:val="21"/>
              </w:rPr>
              <w:t>石材幕墙不得使用云石胶，可使用石材干挂胶。不得使用普通的耐候密封胶，应使用石材幕墙专用耐候胶，并提供抗污染检测报告；</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4</w:t>
            </w:r>
            <w:r>
              <w:rPr>
                <w:rFonts w:ascii="宋体" w:hAnsi="宋体"/>
                <w:spacing w:val="-4"/>
                <w:szCs w:val="21"/>
              </w:rPr>
              <w:t>.</w:t>
            </w:r>
            <w:r>
              <w:rPr>
                <w:rFonts w:hint="eastAsia" w:ascii="宋体" w:hAnsi="宋体"/>
                <w:spacing w:val="-4"/>
                <w:szCs w:val="21"/>
              </w:rPr>
              <w:t>主要材料使用前应进行复验，提供检测报告；</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5</w:t>
            </w:r>
            <w:r>
              <w:rPr>
                <w:rFonts w:ascii="宋体" w:hAnsi="宋体"/>
                <w:spacing w:val="-4"/>
                <w:szCs w:val="21"/>
              </w:rPr>
              <w:t>.</w:t>
            </w:r>
            <w:r>
              <w:rPr>
                <w:rFonts w:hint="eastAsia" w:ascii="宋体" w:hAnsi="宋体"/>
                <w:spacing w:val="-4"/>
                <w:szCs w:val="21"/>
              </w:rPr>
              <w:t>幕墙的物理性能检测报告，沿海及台风多发地区要特别关注检测报告的幕墙抗风压性能指标与结构计算书、设计说明是否一致；</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6</w:t>
            </w:r>
            <w:r>
              <w:rPr>
                <w:rFonts w:ascii="宋体" w:hAnsi="宋体"/>
                <w:spacing w:val="-4"/>
                <w:szCs w:val="21"/>
              </w:rPr>
              <w:t>.</w:t>
            </w:r>
            <w:r>
              <w:rPr>
                <w:rFonts w:hint="eastAsia" w:ascii="宋体" w:hAnsi="宋体"/>
                <w:spacing w:val="-4"/>
                <w:szCs w:val="21"/>
              </w:rPr>
              <w:t>提供：连接件、预埋件的焊缝质量检测报告，后置埋件现场拉拨力检测报告，石材背栓拉拨力检测报告，石材的抗弯强度检验报告，索杆体系预拉力张拉记录；</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7</w:t>
            </w:r>
            <w:r>
              <w:rPr>
                <w:rFonts w:ascii="宋体" w:hAnsi="宋体"/>
                <w:spacing w:val="-4"/>
                <w:szCs w:val="21"/>
              </w:rPr>
              <w:t>.</w:t>
            </w:r>
            <w:r>
              <w:rPr>
                <w:rFonts w:hint="eastAsia" w:ascii="宋体" w:hAnsi="宋体"/>
                <w:spacing w:val="-4"/>
                <w:szCs w:val="21"/>
              </w:rPr>
              <w:t>有隐框、半隐框玻璃板块或隐框做法开启扇的，必须提供硅酮结构胶、耐候密封胶的相容性、粘结性试验报告，结构胶打胶记录、蝴蝶试验记录、养护记录；</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8</w:t>
            </w:r>
            <w:r>
              <w:rPr>
                <w:rFonts w:ascii="宋体" w:hAnsi="宋体"/>
                <w:spacing w:val="-4"/>
                <w:szCs w:val="21"/>
              </w:rPr>
              <w:t>.</w:t>
            </w:r>
            <w:r>
              <w:rPr>
                <w:rFonts w:hint="eastAsia" w:ascii="宋体" w:hAnsi="宋体"/>
                <w:spacing w:val="-4"/>
                <w:szCs w:val="21"/>
              </w:rPr>
              <w:t>淋水试验记录，防雷检测报告；</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9</w:t>
            </w:r>
            <w:r>
              <w:rPr>
                <w:rFonts w:ascii="宋体" w:hAnsi="宋体"/>
                <w:spacing w:val="-4"/>
                <w:szCs w:val="21"/>
              </w:rPr>
              <w:t>.</w:t>
            </w:r>
            <w:r>
              <w:rPr>
                <w:rFonts w:hint="eastAsia" w:ascii="宋体" w:hAnsi="宋体"/>
                <w:spacing w:val="-4"/>
                <w:szCs w:val="21"/>
              </w:rPr>
              <w:t>每批单元板块组装件的出厂合格证、检验记录。每批隐框、半隐框玻璃板块的合格证、检验记录；</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1</w:t>
            </w:r>
            <w:r>
              <w:rPr>
                <w:rFonts w:ascii="宋体" w:hAnsi="宋体"/>
                <w:spacing w:val="-4"/>
                <w:szCs w:val="21"/>
              </w:rPr>
              <w:t>0.</w:t>
            </w:r>
            <w:r>
              <w:rPr>
                <w:rFonts w:hint="eastAsia" w:ascii="宋体" w:hAnsi="宋体"/>
                <w:spacing w:val="-4"/>
                <w:szCs w:val="21"/>
              </w:rPr>
              <w:t>幕墙各连接部位应牢固、可靠，隐蔽工程符合图纸要求，隐蔽工程记录真实、齐全并提供影像资料，并经监理签字认可（隐蔽工程包括：预埋件或后置埋件，锚栓及连接件，构件的连接节点，幕墙四周、幕墙内表面与主体结构间封堵，伸缩缝、沉降缝、抗震缝及墙面转角节点，玻璃板块的固定，幕墙防雷连接节点，幕墙防火、隔烟节点，单元式幕墙的封口节点等）；</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1</w:t>
            </w:r>
            <w:r>
              <w:rPr>
                <w:rFonts w:ascii="宋体" w:hAnsi="宋体"/>
                <w:spacing w:val="-4"/>
                <w:szCs w:val="21"/>
              </w:rPr>
              <w:t>1.</w:t>
            </w:r>
            <w:r>
              <w:rPr>
                <w:rFonts w:hint="eastAsia" w:ascii="宋体" w:hAnsi="宋体"/>
                <w:spacing w:val="-4"/>
                <w:szCs w:val="21"/>
              </w:rPr>
              <w:t>采用新材料的须提供耐候性、耐久性、可靠性依据。含水材料使用在严寒地区的应提供冻融复试报告。复合材料应关注温度应力产生变形导致的安全问题；</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1</w:t>
            </w:r>
            <w:r>
              <w:rPr>
                <w:rFonts w:ascii="宋体" w:hAnsi="宋体"/>
                <w:spacing w:val="-4"/>
                <w:szCs w:val="21"/>
              </w:rPr>
              <w:t>2.</w:t>
            </w:r>
            <w:r>
              <w:rPr>
                <w:rFonts w:hint="eastAsia" w:ascii="宋体" w:hAnsi="宋体"/>
                <w:spacing w:val="-4"/>
                <w:szCs w:val="21"/>
              </w:rPr>
              <w:t>合格证、检验记录、检测报告应提供原件且真实有效。检测结果应符合设计要求及相关标准规范要求；</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1</w:t>
            </w:r>
            <w:r>
              <w:rPr>
                <w:rFonts w:ascii="宋体" w:hAnsi="宋体"/>
                <w:spacing w:val="-4"/>
                <w:szCs w:val="21"/>
              </w:rPr>
              <w:t>3.</w:t>
            </w:r>
            <w:r>
              <w:rPr>
                <w:rFonts w:hint="eastAsia" w:ascii="宋体" w:hAnsi="宋体"/>
                <w:spacing w:val="-4"/>
                <w:szCs w:val="21"/>
              </w:rPr>
              <w:t>进口材料应符合我国相关产品标准。</w:t>
            </w:r>
          </w:p>
        </w:tc>
        <w:tc>
          <w:tcPr>
            <w:tcW w:w="2409" w:type="dxa"/>
            <w:vMerge w:val="continue"/>
            <w:tcBorders>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p>
        </w:tc>
        <w:tc>
          <w:tcPr>
            <w:tcW w:w="1701" w:type="dxa"/>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p>
            <w:pPr>
              <w:snapToGrid w:val="0"/>
              <w:spacing w:line="288" w:lineRule="auto"/>
              <w:jc w:val="left"/>
              <w:rPr>
                <w:rFonts w:ascii="宋体" w:hAnsi="宋体"/>
                <w:szCs w:val="21"/>
              </w:rPr>
            </w:pPr>
            <w:r>
              <w:rPr>
                <w:rFonts w:hint="eastAsia" w:ascii="宋体" w:hAnsi="宋体"/>
                <w:szCs w:val="21"/>
              </w:rPr>
              <w:t>包括但不限于材料、施工以及施工管理等方面涉及工程质量性能、安全性、可靠性等方面的质量管理资料；</w:t>
            </w:r>
          </w:p>
          <w:p>
            <w:pPr>
              <w:snapToGrid w:val="0"/>
              <w:spacing w:line="288" w:lineRule="auto"/>
              <w:jc w:val="left"/>
              <w:rPr>
                <w:rFonts w:ascii="宋体" w:hAnsi="宋体"/>
                <w:szCs w:val="21"/>
              </w:rPr>
            </w:pPr>
          </w:p>
          <w:p>
            <w:pPr>
              <w:snapToGrid w:val="0"/>
              <w:spacing w:line="288" w:lineRule="auto"/>
              <w:jc w:val="left"/>
              <w:rPr>
                <w:rFonts w:ascii="宋体" w:hAnsi="宋体"/>
                <w:szCs w:val="21"/>
              </w:rPr>
            </w:pPr>
            <w:r>
              <w:rPr>
                <w:rFonts w:hint="eastAsia" w:ascii="宋体" w:hAnsi="宋体"/>
                <w:szCs w:val="21"/>
              </w:rPr>
              <w:t>隐蔽部位的质量管理资料</w:t>
            </w:r>
          </w:p>
          <w:p>
            <w:pPr>
              <w:snapToGrid w:val="0"/>
              <w:spacing w:line="288" w:lineRule="auto"/>
              <w:jc w:val="left"/>
              <w:rPr>
                <w:rFonts w:ascii="宋体" w:hAnsi="宋体"/>
                <w:szCs w:val="21"/>
              </w:rPr>
            </w:pPr>
          </w:p>
          <w:p>
            <w:pPr>
              <w:snapToGrid w:val="0"/>
              <w:spacing w:line="288" w:lineRule="auto"/>
              <w:jc w:val="left"/>
              <w:rPr>
                <w:rFonts w:ascii="宋体" w:hAnsi="宋体"/>
                <w:szCs w:val="21"/>
              </w:rPr>
            </w:pPr>
            <w:r>
              <w:rPr>
                <w:rFonts w:hint="eastAsia" w:ascii="宋体" w:hAnsi="宋体"/>
                <w:szCs w:val="21"/>
              </w:rPr>
              <w:t>高寒、台风等特殊气候地区的质量管理资料</w:t>
            </w: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结合工程实体查质量管理资料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8"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热工计算书</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工程所有的幕墙类型（包括采光顶）都应有热工计算；无保温隔热要求的装饰幕墙、开缝构造的幕墙不用热工计算；</w:t>
            </w:r>
          </w:p>
          <w:p>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各类型幕墙的热工计算应齐全完整不缺项，并有明确结论且满足建筑节能设计指标要求；</w:t>
            </w:r>
          </w:p>
          <w:p>
            <w:pPr>
              <w:pStyle w:val="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正确选择热工计算单元、正确选择计算参数，如气候分区、朝向、窗墙面积比等；</w:t>
            </w:r>
          </w:p>
          <w:p>
            <w:pPr>
              <w:pStyle w:val="4"/>
              <w:snapToGrid w:val="0"/>
              <w:spacing w:line="288"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热工计算应符合现行国家和行业标准；</w:t>
            </w:r>
          </w:p>
          <w:p>
            <w:pPr>
              <w:pStyle w:val="4"/>
              <w:snapToGrid w:val="0"/>
              <w:spacing w:line="288" w:lineRule="auto"/>
              <w:ind w:firstLine="0" w:firstLineChars="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寒冷和严寒地区应进行结露性能评价计算；</w:t>
            </w:r>
          </w:p>
          <w:p>
            <w:pPr>
              <w:pStyle w:val="4"/>
              <w:snapToGrid w:val="0"/>
              <w:spacing w:line="288" w:lineRule="auto"/>
              <w:ind w:firstLine="0" w:firstLineChars="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应提供建筑设计院出具的建筑节能计算书或建筑施工图设计说明中的节能专篇，来明确各类型幕墙应当达到的热工性能具体数值。但是不能用建筑设计院出具的建筑节能计算书代替幕墙热工计算书；</w:t>
            </w:r>
          </w:p>
          <w:p>
            <w:pPr>
              <w:pStyle w:val="4"/>
              <w:snapToGrid w:val="0"/>
              <w:spacing w:line="288" w:lineRule="auto"/>
              <w:ind w:firstLine="0" w:firstLineChars="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热工计算书审批签字手续应齐全，加盖设计计算单位的公章或出图章。</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1.无热工计算书（扣5分）；</w:t>
            </w:r>
          </w:p>
          <w:p>
            <w:pPr>
              <w:snapToGrid w:val="0"/>
              <w:spacing w:line="288" w:lineRule="auto"/>
              <w:rPr>
                <w:rFonts w:ascii="宋体" w:hAnsi="宋体"/>
                <w:szCs w:val="21"/>
              </w:rPr>
            </w:pPr>
            <w:r>
              <w:rPr>
                <w:rFonts w:hint="eastAsia" w:ascii="宋体" w:hAnsi="宋体"/>
                <w:szCs w:val="21"/>
              </w:rPr>
              <w:t>2.计算出现严重错误或计算结果不满足建筑设计要求（每项扣0.5-3分）；</w:t>
            </w:r>
          </w:p>
          <w:p>
            <w:pPr>
              <w:snapToGrid w:val="0"/>
              <w:spacing w:line="288" w:lineRule="auto"/>
              <w:rPr>
                <w:rFonts w:ascii="宋体" w:hAnsi="宋体"/>
                <w:szCs w:val="21"/>
              </w:rPr>
            </w:pPr>
            <w:r>
              <w:rPr>
                <w:rFonts w:hint="eastAsia" w:ascii="宋体" w:hAnsi="宋体"/>
                <w:szCs w:val="21"/>
              </w:rPr>
              <w:t>3.缺两种及以上主要幕墙类型的热工计算书（每项扣1-2分）</w:t>
            </w:r>
          </w:p>
          <w:p>
            <w:pPr>
              <w:snapToGrid w:val="0"/>
              <w:spacing w:line="288" w:lineRule="auto"/>
              <w:rPr>
                <w:rFonts w:ascii="宋体" w:hAnsi="宋体"/>
                <w:szCs w:val="21"/>
              </w:rPr>
            </w:pPr>
            <w:r>
              <w:rPr>
                <w:rFonts w:hint="eastAsia" w:ascii="宋体" w:hAnsi="宋体"/>
                <w:szCs w:val="21"/>
              </w:rPr>
              <w:t>4.其它不符合要求或不合规情况（扣0.1-0.5分）</w:t>
            </w:r>
          </w:p>
        </w:tc>
        <w:tc>
          <w:tcPr>
            <w:tcW w:w="1701" w:type="dxa"/>
            <w:tcBorders>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重点检查有无热工计算书及计算出现严重错误情况；</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结合工程实体查热工计算书及相关资料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3</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结构计算书</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1</w:t>
            </w:r>
            <w:r>
              <w:rPr>
                <w:szCs w:val="21"/>
              </w:rPr>
              <w:t>.</w:t>
            </w:r>
            <w:r>
              <w:rPr>
                <w:rFonts w:hint="eastAsia"/>
                <w:szCs w:val="21"/>
              </w:rPr>
              <w:t>工程所有的幕墙类型（包括采光顶、雨蓬、外挂遮阳及装饰构件）都应有结构计算书；</w:t>
            </w:r>
          </w:p>
          <w:p>
            <w:pPr>
              <w:snapToGrid w:val="0"/>
              <w:spacing w:line="288" w:lineRule="auto"/>
              <w:rPr>
                <w:szCs w:val="21"/>
              </w:rPr>
            </w:pPr>
            <w:r>
              <w:rPr>
                <w:rFonts w:hint="eastAsia"/>
                <w:szCs w:val="21"/>
              </w:rPr>
              <w:t>2</w:t>
            </w:r>
            <w:r>
              <w:rPr>
                <w:szCs w:val="21"/>
              </w:rPr>
              <w:t>.</w:t>
            </w:r>
            <w:r>
              <w:rPr>
                <w:rFonts w:hint="eastAsia"/>
                <w:szCs w:val="21"/>
              </w:rPr>
              <w:t>结构计算内容应齐全完整不缺项（面板及龙骨强度、挠度计算，结构胶宽度、厚度计算，所有连接件都应进行强度计算，预埋件计算，焊缝长度、高度、宽度计算，玻璃托条计算，横梁端头固定件计算），计算应有明确结论，计算结果满足工程设计要求；</w:t>
            </w:r>
          </w:p>
          <w:p>
            <w:pPr>
              <w:snapToGrid w:val="0"/>
              <w:spacing w:line="288" w:lineRule="auto"/>
              <w:rPr>
                <w:szCs w:val="21"/>
              </w:rPr>
            </w:pPr>
            <w:r>
              <w:rPr>
                <w:rFonts w:hint="eastAsia"/>
                <w:szCs w:val="21"/>
              </w:rPr>
              <w:t>3</w:t>
            </w:r>
            <w:r>
              <w:rPr>
                <w:szCs w:val="21"/>
              </w:rPr>
              <w:t>.</w:t>
            </w:r>
            <w:r>
              <w:rPr>
                <w:rFonts w:hint="eastAsia"/>
                <w:szCs w:val="21"/>
              </w:rPr>
              <w:t>有后置埋件的、采用背栓连接面材的，应当分别对后置锚栓、背栓做受力计算；</w:t>
            </w:r>
          </w:p>
          <w:p>
            <w:pPr>
              <w:snapToGrid w:val="0"/>
              <w:spacing w:line="288" w:lineRule="auto"/>
              <w:rPr>
                <w:szCs w:val="21"/>
              </w:rPr>
            </w:pPr>
            <w:r>
              <w:rPr>
                <w:rFonts w:hint="eastAsia"/>
                <w:szCs w:val="21"/>
              </w:rPr>
              <w:t>4</w:t>
            </w:r>
            <w:r>
              <w:rPr>
                <w:szCs w:val="21"/>
              </w:rPr>
              <w:t>.</w:t>
            </w:r>
            <w:r>
              <w:rPr>
                <w:rFonts w:hint="eastAsia"/>
                <w:szCs w:val="21"/>
              </w:rPr>
              <w:t>正确选择计算单元，对受力最不利的各个部位都应当计算；</w:t>
            </w:r>
          </w:p>
          <w:p>
            <w:pPr>
              <w:snapToGrid w:val="0"/>
              <w:spacing w:line="288" w:lineRule="auto"/>
              <w:rPr>
                <w:szCs w:val="21"/>
              </w:rPr>
            </w:pPr>
            <w:r>
              <w:rPr>
                <w:rFonts w:hint="eastAsia"/>
                <w:szCs w:val="21"/>
              </w:rPr>
              <w:t>5</w:t>
            </w:r>
            <w:r>
              <w:rPr>
                <w:szCs w:val="21"/>
              </w:rPr>
              <w:t>.</w:t>
            </w:r>
            <w:r>
              <w:rPr>
                <w:rFonts w:hint="eastAsia"/>
                <w:szCs w:val="21"/>
              </w:rPr>
              <w:t>正确、合理选择计算参数（各种荷载及作用的参数及其组合，材料力学特性数值）；</w:t>
            </w:r>
          </w:p>
          <w:p>
            <w:pPr>
              <w:snapToGrid w:val="0"/>
              <w:spacing w:line="288" w:lineRule="auto"/>
              <w:rPr>
                <w:szCs w:val="21"/>
              </w:rPr>
            </w:pPr>
            <w:r>
              <w:rPr>
                <w:rFonts w:hint="eastAsia"/>
                <w:szCs w:val="21"/>
              </w:rPr>
              <w:t>6</w:t>
            </w:r>
            <w:r>
              <w:rPr>
                <w:szCs w:val="21"/>
              </w:rPr>
              <w:t>.</w:t>
            </w:r>
            <w:r>
              <w:rPr>
                <w:rFonts w:hint="eastAsia"/>
                <w:szCs w:val="21"/>
              </w:rPr>
              <w:t>龙骨、面材、连接结构的计算模型应当与图纸及实际施工情况一致，真实、正确反映受力情况；</w:t>
            </w:r>
          </w:p>
          <w:p>
            <w:pPr>
              <w:snapToGrid w:val="0"/>
              <w:spacing w:line="288" w:lineRule="auto"/>
              <w:rPr>
                <w:szCs w:val="21"/>
              </w:rPr>
            </w:pPr>
            <w:r>
              <w:rPr>
                <w:rFonts w:hint="eastAsia" w:ascii="宋体" w:hAnsi="宋体"/>
                <w:szCs w:val="21"/>
              </w:rPr>
              <w:t>7</w:t>
            </w:r>
            <w:r>
              <w:rPr>
                <w:rFonts w:ascii="宋体" w:hAnsi="宋体"/>
                <w:szCs w:val="21"/>
              </w:rPr>
              <w:t>.</w:t>
            </w:r>
            <w:r>
              <w:rPr>
                <w:rFonts w:hint="eastAsia" w:ascii="宋体" w:hAnsi="宋体"/>
                <w:szCs w:val="21"/>
              </w:rPr>
              <w:t>沿海及台风多发地区应对开启窗做计算，计算内容应涵盖面材及所有传力的构件、配件和材料；</w:t>
            </w:r>
          </w:p>
          <w:p>
            <w:pPr>
              <w:snapToGrid w:val="0"/>
              <w:spacing w:line="288" w:lineRule="auto"/>
              <w:rPr>
                <w:szCs w:val="21"/>
              </w:rPr>
            </w:pPr>
            <w:r>
              <w:rPr>
                <w:rFonts w:hint="eastAsia" w:ascii="宋体" w:hAnsi="宋体"/>
                <w:szCs w:val="21"/>
              </w:rPr>
              <w:t>8</w:t>
            </w:r>
            <w:r>
              <w:rPr>
                <w:rFonts w:ascii="宋体" w:hAnsi="宋体"/>
                <w:szCs w:val="21"/>
              </w:rPr>
              <w:t>.</w:t>
            </w:r>
            <w:r>
              <w:rPr>
                <w:rFonts w:hint="eastAsia" w:ascii="宋体" w:hAnsi="宋体"/>
                <w:szCs w:val="21"/>
              </w:rPr>
              <w:t>预应力索杆结构的计算书应当提供主体结构的拉力值和预应力值，跨度大于8米的，必须有主体结构设计单位出具的技术文件，确认主体结构能够承受索杆体系对其的作用力；</w:t>
            </w:r>
          </w:p>
          <w:p>
            <w:pPr>
              <w:snapToGrid w:val="0"/>
              <w:spacing w:line="288" w:lineRule="auto"/>
              <w:rPr>
                <w:szCs w:val="21"/>
              </w:rPr>
            </w:pPr>
            <w:r>
              <w:rPr>
                <w:rFonts w:hint="eastAsia" w:ascii="宋体" w:hAnsi="宋体"/>
                <w:szCs w:val="21"/>
              </w:rPr>
              <w:t>9</w:t>
            </w:r>
            <w:r>
              <w:rPr>
                <w:rFonts w:ascii="宋体" w:hAnsi="宋体"/>
                <w:szCs w:val="21"/>
              </w:rPr>
              <w:t>.</w:t>
            </w:r>
            <w:r>
              <w:rPr>
                <w:rFonts w:hint="eastAsia" w:ascii="宋体" w:hAnsi="宋体"/>
                <w:szCs w:val="21"/>
              </w:rPr>
              <w:t>结构计算书审批签字手续应齐全，加盖设计计算单位的公章或出图章。</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1</w:t>
            </w:r>
            <w:r>
              <w:rPr>
                <w:szCs w:val="21"/>
              </w:rPr>
              <w:t>.</w:t>
            </w:r>
            <w:r>
              <w:rPr>
                <w:rFonts w:hint="eastAsia"/>
                <w:szCs w:val="21"/>
              </w:rPr>
              <w:t>无结构计算书的（扣20分）；</w:t>
            </w:r>
          </w:p>
          <w:p>
            <w:pPr>
              <w:snapToGrid w:val="0"/>
              <w:spacing w:line="288" w:lineRule="auto"/>
              <w:rPr>
                <w:rFonts w:ascii="Calibri" w:hAnsi="Calibri"/>
                <w:szCs w:val="21"/>
              </w:rPr>
            </w:pPr>
            <w:r>
              <w:rPr>
                <w:rFonts w:hint="eastAsia" w:ascii="Calibri" w:hAnsi="Calibri"/>
                <w:szCs w:val="21"/>
              </w:rPr>
              <w:t>2.计算出现严重错误或计算结果不满足工程设计要求，使结构存在安全隐患（每项扣3-10分）；</w:t>
            </w:r>
          </w:p>
          <w:p>
            <w:pPr>
              <w:snapToGrid w:val="0"/>
              <w:spacing w:line="288" w:lineRule="auto"/>
              <w:rPr>
                <w:rFonts w:ascii="Calibri" w:hAnsi="Calibri"/>
                <w:szCs w:val="21"/>
              </w:rPr>
            </w:pPr>
            <w:r>
              <w:rPr>
                <w:rFonts w:hint="eastAsia" w:ascii="Calibri" w:hAnsi="Calibri"/>
                <w:szCs w:val="21"/>
              </w:rPr>
              <w:t>3.缺两种及以上主要幕墙类型的计算书（每项扣2-5分）；</w:t>
            </w:r>
          </w:p>
          <w:p>
            <w:pPr>
              <w:snapToGrid w:val="0"/>
              <w:spacing w:line="288" w:lineRule="auto"/>
              <w:rPr>
                <w:rFonts w:ascii="Calibri" w:hAnsi="Calibri"/>
                <w:szCs w:val="21"/>
              </w:rPr>
            </w:pPr>
            <w:r>
              <w:rPr>
                <w:rFonts w:hint="eastAsia" w:ascii="Calibri" w:hAnsi="Calibri"/>
                <w:szCs w:val="21"/>
              </w:rPr>
              <w:t>4.其它不符合要求或不合规情况（每项扣0.2-1分）</w:t>
            </w:r>
          </w:p>
        </w:tc>
        <w:tc>
          <w:tcPr>
            <w:tcW w:w="1701" w:type="dxa"/>
            <w:tcBorders>
              <w:left w:val="single" w:color="auto" w:sz="4" w:space="0"/>
              <w:right w:val="single" w:color="auto" w:sz="4" w:space="0"/>
            </w:tcBorders>
            <w:noWrap w:val="0"/>
            <w:vAlign w:val="center"/>
          </w:tcPr>
          <w:p>
            <w:pPr>
              <w:snapToGrid w:val="0"/>
              <w:spacing w:line="288" w:lineRule="auto"/>
              <w:rPr>
                <w:szCs w:val="21"/>
              </w:rPr>
            </w:pPr>
            <w:r>
              <w:rPr>
                <w:rFonts w:hint="eastAsia"/>
                <w:szCs w:val="21"/>
              </w:rPr>
              <w:t>重点检查有无结构计算书及关键重点部位的计算书与计算结果</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结合工程实体查结构计算书、技术资料等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4</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竣工图纸</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szCs w:val="21"/>
              </w:rPr>
            </w:pPr>
            <w:r>
              <w:rPr>
                <w:rFonts w:hint="eastAsia"/>
                <w:szCs w:val="21"/>
              </w:rPr>
              <w:t>1</w:t>
            </w:r>
            <w:r>
              <w:rPr>
                <w:szCs w:val="21"/>
              </w:rPr>
              <w:t>.</w:t>
            </w:r>
            <w:r>
              <w:rPr>
                <w:rFonts w:hint="eastAsia"/>
                <w:szCs w:val="21"/>
              </w:rPr>
              <w:t>竣工图纸应按标准要求编制，审批手续齐全并经有资质的幕墙设计单位确认；</w:t>
            </w:r>
          </w:p>
          <w:p>
            <w:pPr>
              <w:snapToGrid w:val="0"/>
              <w:spacing w:line="276" w:lineRule="auto"/>
              <w:rPr>
                <w:szCs w:val="21"/>
              </w:rPr>
            </w:pPr>
            <w:r>
              <w:rPr>
                <w:rFonts w:hint="eastAsia"/>
                <w:szCs w:val="21"/>
              </w:rPr>
              <w:t>2</w:t>
            </w:r>
            <w:r>
              <w:rPr>
                <w:szCs w:val="21"/>
              </w:rPr>
              <w:t>.</w:t>
            </w:r>
            <w:r>
              <w:rPr>
                <w:rFonts w:hint="eastAsia"/>
                <w:szCs w:val="21"/>
              </w:rPr>
              <w:t>竣工图内容应包括：目录、设计说明、平面图、立面图、剖面图、各类型幕墙的大样详图，节点图，构件图，型材截面图、预埋件或后置埋件图等；</w:t>
            </w:r>
          </w:p>
          <w:p>
            <w:pPr>
              <w:snapToGrid w:val="0"/>
              <w:spacing w:line="276" w:lineRule="auto"/>
              <w:rPr>
                <w:szCs w:val="21"/>
              </w:rPr>
            </w:pPr>
            <w:r>
              <w:rPr>
                <w:rFonts w:hint="eastAsia"/>
                <w:szCs w:val="21"/>
              </w:rPr>
              <w:t>3</w:t>
            </w:r>
            <w:r>
              <w:rPr>
                <w:szCs w:val="21"/>
              </w:rPr>
              <w:t>.</w:t>
            </w:r>
            <w:r>
              <w:rPr>
                <w:rFonts w:hint="eastAsia"/>
                <w:szCs w:val="21"/>
              </w:rPr>
              <w:t>设计说明应包括如下内容：工程概况、设计参数、设计依据、设计标准、设计范围、各主要幕墙类型及其设计构造、幕墙物理性能、热工性能、避雷防火说明、所用材料的材质规格、加工制作技术要求等。使用后置锚栓、石材背栓的，应当注明锚栓或背栓的拉拔力设计值和乘以2倍之后的拉拔力试验值；</w:t>
            </w:r>
          </w:p>
          <w:p>
            <w:pPr>
              <w:snapToGrid w:val="0"/>
              <w:spacing w:line="276" w:lineRule="auto"/>
              <w:rPr>
                <w:szCs w:val="21"/>
              </w:rPr>
            </w:pPr>
            <w:r>
              <w:rPr>
                <w:rFonts w:hint="eastAsia"/>
                <w:szCs w:val="21"/>
              </w:rPr>
              <w:t>4</w:t>
            </w:r>
            <w:r>
              <w:rPr>
                <w:szCs w:val="21"/>
              </w:rPr>
              <w:t>.</w:t>
            </w:r>
            <w:r>
              <w:rPr>
                <w:rFonts w:hint="eastAsia"/>
                <w:szCs w:val="21"/>
              </w:rPr>
              <w:t>节点图应包括各幕墙系统横梁立柱的典型节点、与主体结构连接节点、开启扇节点、转角节点、防火防雷节点、封口节点、沉降缝节点等）；</w:t>
            </w:r>
          </w:p>
          <w:p>
            <w:pPr>
              <w:snapToGrid w:val="0"/>
              <w:spacing w:line="276" w:lineRule="auto"/>
              <w:rPr>
                <w:szCs w:val="21"/>
              </w:rPr>
            </w:pPr>
            <w:r>
              <w:rPr>
                <w:rFonts w:hint="eastAsia"/>
                <w:szCs w:val="21"/>
              </w:rPr>
              <w:t>5</w:t>
            </w:r>
            <w:r>
              <w:rPr>
                <w:szCs w:val="21"/>
              </w:rPr>
              <w:t>.</w:t>
            </w:r>
            <w:r>
              <w:rPr>
                <w:rFonts w:hint="eastAsia"/>
                <w:szCs w:val="21"/>
              </w:rPr>
              <w:t>幕墙设计（包括性能、节点构造、使用材料）应符合相关规范和标准的要求，符合原建筑设计的要求；</w:t>
            </w:r>
          </w:p>
          <w:p>
            <w:pPr>
              <w:snapToGrid w:val="0"/>
              <w:spacing w:line="276" w:lineRule="auto"/>
              <w:rPr>
                <w:szCs w:val="21"/>
              </w:rPr>
            </w:pPr>
            <w:r>
              <w:rPr>
                <w:rFonts w:hint="eastAsia"/>
                <w:szCs w:val="21"/>
              </w:rPr>
              <w:t>6</w:t>
            </w:r>
            <w:r>
              <w:rPr>
                <w:szCs w:val="21"/>
              </w:rPr>
              <w:t>.</w:t>
            </w:r>
            <w:r>
              <w:rPr>
                <w:rFonts w:hint="eastAsia"/>
                <w:szCs w:val="21"/>
              </w:rPr>
              <w:t>隐框或半隐框玻璃幕墙、隐框做法的玻璃开启扇等使用结构胶的部位，应标注结构胶的宽度、厚度尺寸。重要连接位置的焊缝应标注焊缝尺寸。寒冷和严寒地区的幕墙节点中不得有明显冷桥；</w:t>
            </w:r>
          </w:p>
          <w:p>
            <w:pPr>
              <w:snapToGrid w:val="0"/>
              <w:spacing w:line="276" w:lineRule="auto"/>
              <w:rPr>
                <w:szCs w:val="21"/>
              </w:rPr>
            </w:pPr>
            <w:r>
              <w:rPr>
                <w:rFonts w:hint="eastAsia" w:ascii="宋体" w:hAnsi="宋体"/>
                <w:szCs w:val="21"/>
              </w:rPr>
              <w:t>7</w:t>
            </w:r>
            <w:r>
              <w:rPr>
                <w:rFonts w:ascii="宋体" w:hAnsi="宋体"/>
                <w:szCs w:val="21"/>
              </w:rPr>
              <w:t>.</w:t>
            </w:r>
            <w:r>
              <w:rPr>
                <w:rFonts w:hint="eastAsia" w:ascii="宋体" w:hAnsi="宋体"/>
                <w:szCs w:val="21"/>
              </w:rPr>
              <w:t>旧改工程，应当有主体结构设计单位对幕墙工程图纸进行受力复核，审核确认幕墙（含雨蓬、采光顶）对主体结构作用力在其可承受范围内。</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1</w:t>
            </w:r>
            <w:r>
              <w:rPr>
                <w:szCs w:val="21"/>
              </w:rPr>
              <w:t>.</w:t>
            </w:r>
            <w:r>
              <w:rPr>
                <w:rFonts w:hint="eastAsia"/>
                <w:szCs w:val="21"/>
              </w:rPr>
              <w:t>竣工图没有设计说明或说明不符合要求的（每项扣1-3分）；</w:t>
            </w:r>
          </w:p>
          <w:p>
            <w:pPr>
              <w:snapToGrid w:val="0"/>
              <w:spacing w:line="288" w:lineRule="auto"/>
              <w:rPr>
                <w:szCs w:val="21"/>
              </w:rPr>
            </w:pPr>
            <w:r>
              <w:rPr>
                <w:rFonts w:hint="eastAsia"/>
                <w:szCs w:val="21"/>
              </w:rPr>
              <w:t>2</w:t>
            </w:r>
            <w:r>
              <w:rPr>
                <w:szCs w:val="21"/>
              </w:rPr>
              <w:t>.</w:t>
            </w:r>
            <w:r>
              <w:rPr>
                <w:rFonts w:hint="eastAsia"/>
                <w:szCs w:val="21"/>
              </w:rPr>
              <w:t>缺两种及以上主要幕墙类型的竣工图（每项扣3-5分）；</w:t>
            </w:r>
          </w:p>
          <w:p>
            <w:pPr>
              <w:snapToGrid w:val="0"/>
              <w:spacing w:line="288" w:lineRule="auto"/>
              <w:rPr>
                <w:szCs w:val="21"/>
              </w:rPr>
            </w:pPr>
            <w:r>
              <w:rPr>
                <w:rFonts w:hint="eastAsia"/>
                <w:szCs w:val="21"/>
              </w:rPr>
              <w:t>3</w:t>
            </w:r>
            <w:r>
              <w:rPr>
                <w:szCs w:val="21"/>
              </w:rPr>
              <w:t>.</w:t>
            </w:r>
            <w:r>
              <w:rPr>
                <w:rFonts w:hint="eastAsia"/>
                <w:szCs w:val="21"/>
              </w:rPr>
              <w:t>其它不符合要求或不合规情况（每项扣0.5-2分）</w:t>
            </w:r>
          </w:p>
        </w:tc>
        <w:tc>
          <w:tcPr>
            <w:tcW w:w="1701" w:type="dxa"/>
            <w:tcBorders>
              <w:left w:val="single" w:color="auto" w:sz="4" w:space="0"/>
              <w:right w:val="single" w:color="auto" w:sz="4" w:space="0"/>
            </w:tcBorders>
            <w:noWrap w:val="0"/>
            <w:vAlign w:val="center"/>
          </w:tcPr>
          <w:p>
            <w:pPr>
              <w:snapToGrid w:val="0"/>
              <w:spacing w:line="288" w:lineRule="auto"/>
              <w:rPr>
                <w:szCs w:val="21"/>
              </w:rPr>
            </w:pPr>
            <w:r>
              <w:rPr>
                <w:rFonts w:hint="eastAsia"/>
                <w:szCs w:val="21"/>
              </w:rPr>
              <w:t>竣工图纸应齐全规范，签字签章齐全有效；正确使用标准规范，内容正确、齐全、有效。</w:t>
            </w:r>
          </w:p>
          <w:p>
            <w:pPr>
              <w:snapToGrid w:val="0"/>
              <w:spacing w:line="288" w:lineRule="auto"/>
              <w:rPr>
                <w:szCs w:val="21"/>
              </w:rPr>
            </w:pPr>
            <w:r>
              <w:rPr>
                <w:rFonts w:hint="eastAsia"/>
                <w:szCs w:val="21"/>
              </w:rPr>
              <w:t>竣工图与工程实体符合性。</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15分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结合工程实体查竣工图纸</w:t>
            </w:r>
          </w:p>
        </w:tc>
      </w:tr>
    </w:tbl>
    <w:p>
      <w:r>
        <w:br w:type="page"/>
      </w:r>
    </w:p>
    <w:tbl>
      <w:tblPr>
        <w:tblStyle w:val="2"/>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5</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工程实体</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szCs w:val="21"/>
              </w:rPr>
            </w:pPr>
            <w:r>
              <w:rPr>
                <w:rFonts w:hint="eastAsia"/>
                <w:szCs w:val="21"/>
              </w:rPr>
              <w:t>1</w:t>
            </w:r>
            <w:r>
              <w:rPr>
                <w:szCs w:val="21"/>
              </w:rPr>
              <w:t>.</w:t>
            </w:r>
            <w:r>
              <w:rPr>
                <w:rFonts w:hint="eastAsia"/>
                <w:szCs w:val="21"/>
              </w:rPr>
              <w:t>整体装饰效果应好或很好；</w:t>
            </w:r>
          </w:p>
          <w:p>
            <w:pPr>
              <w:snapToGrid w:val="0"/>
              <w:spacing w:line="276" w:lineRule="auto"/>
              <w:rPr>
                <w:szCs w:val="21"/>
              </w:rPr>
            </w:pPr>
            <w:r>
              <w:rPr>
                <w:rFonts w:hint="eastAsia"/>
                <w:szCs w:val="21"/>
              </w:rPr>
              <w:t>2</w:t>
            </w:r>
            <w:r>
              <w:rPr>
                <w:szCs w:val="21"/>
              </w:rPr>
              <w:t>.</w:t>
            </w:r>
            <w:r>
              <w:rPr>
                <w:rFonts w:hint="eastAsia"/>
                <w:szCs w:val="21"/>
              </w:rPr>
              <w:t>工程现场实际的构造做法、使用的材料应当与幕墙设计图一致，按图施工；</w:t>
            </w:r>
          </w:p>
          <w:p>
            <w:pPr>
              <w:snapToGrid w:val="0"/>
              <w:spacing w:line="276" w:lineRule="auto"/>
              <w:rPr>
                <w:szCs w:val="21"/>
              </w:rPr>
            </w:pPr>
            <w:r>
              <w:rPr>
                <w:rFonts w:hint="eastAsia"/>
                <w:bCs/>
                <w:szCs w:val="21"/>
              </w:rPr>
              <w:t>3</w:t>
            </w:r>
            <w:r>
              <w:rPr>
                <w:bCs/>
                <w:szCs w:val="21"/>
              </w:rPr>
              <w:t>.</w:t>
            </w:r>
            <w:r>
              <w:rPr>
                <w:rFonts w:hint="eastAsia"/>
                <w:bCs/>
                <w:szCs w:val="21"/>
              </w:rPr>
              <w:t>幕墙的外观质量应符合要求。面材平整干净无污染、无破损、无漏水、无褪色。胶缝、装饰线条横平竖直，弧线造型顺滑，五金附件无锈蚀，收边收口密封严密；</w:t>
            </w:r>
          </w:p>
          <w:p>
            <w:pPr>
              <w:snapToGrid w:val="0"/>
              <w:spacing w:line="276" w:lineRule="auto"/>
              <w:rPr>
                <w:szCs w:val="21"/>
              </w:rPr>
            </w:pPr>
            <w:r>
              <w:rPr>
                <w:rFonts w:hint="eastAsia"/>
                <w:bCs/>
                <w:szCs w:val="21"/>
              </w:rPr>
              <w:t>4</w:t>
            </w:r>
            <w:r>
              <w:rPr>
                <w:bCs/>
                <w:szCs w:val="21"/>
              </w:rPr>
              <w:t>.</w:t>
            </w:r>
            <w:r>
              <w:rPr>
                <w:rFonts w:hint="eastAsia"/>
                <w:bCs/>
                <w:szCs w:val="21"/>
              </w:rPr>
              <w:t>玻璃反射影像应当无畸形或畸形较小，玻璃内衬板平整；</w:t>
            </w:r>
          </w:p>
          <w:p>
            <w:pPr>
              <w:snapToGrid w:val="0"/>
              <w:spacing w:line="276" w:lineRule="auto"/>
              <w:rPr>
                <w:szCs w:val="21"/>
              </w:rPr>
            </w:pPr>
            <w:r>
              <w:rPr>
                <w:rFonts w:hint="eastAsia"/>
                <w:szCs w:val="21"/>
              </w:rPr>
              <w:t>5</w:t>
            </w:r>
            <w:r>
              <w:rPr>
                <w:szCs w:val="21"/>
              </w:rPr>
              <w:t>.</w:t>
            </w:r>
            <w:r>
              <w:rPr>
                <w:rFonts w:hint="eastAsia"/>
                <w:szCs w:val="21"/>
              </w:rPr>
              <w:t>连接件、驳接爪等钢件无严重锈蚀；密封胶保持良好弹性，无硬化；</w:t>
            </w:r>
          </w:p>
          <w:p>
            <w:pPr>
              <w:snapToGrid w:val="0"/>
              <w:spacing w:line="276" w:lineRule="auto"/>
              <w:rPr>
                <w:szCs w:val="21"/>
              </w:rPr>
            </w:pPr>
            <w:r>
              <w:rPr>
                <w:rFonts w:hint="eastAsia"/>
                <w:szCs w:val="21"/>
              </w:rPr>
              <w:t>6</w:t>
            </w:r>
            <w:r>
              <w:rPr>
                <w:szCs w:val="21"/>
              </w:rPr>
              <w:t>.</w:t>
            </w:r>
            <w:r>
              <w:rPr>
                <w:rFonts w:hint="eastAsia"/>
                <w:szCs w:val="21"/>
              </w:rPr>
              <w:t>开启门窗密封性好、开启灵活，设置开启限位装置，高层外开窗安装防脱落装置；</w:t>
            </w:r>
          </w:p>
          <w:p>
            <w:pPr>
              <w:snapToGrid w:val="0"/>
              <w:spacing w:line="276" w:lineRule="auto"/>
              <w:rPr>
                <w:szCs w:val="21"/>
              </w:rPr>
            </w:pPr>
            <w:r>
              <w:rPr>
                <w:rFonts w:hint="eastAsia"/>
                <w:szCs w:val="21"/>
              </w:rPr>
              <w:t>7</w:t>
            </w:r>
            <w:r>
              <w:rPr>
                <w:szCs w:val="21"/>
              </w:rPr>
              <w:t>.</w:t>
            </w:r>
            <w:r>
              <w:rPr>
                <w:rFonts w:hint="eastAsia"/>
                <w:szCs w:val="21"/>
              </w:rPr>
              <w:t>隐框、半隐框玻璃板块及翻窗开启扇玻璃底部应安装玻璃托条；</w:t>
            </w:r>
          </w:p>
          <w:p>
            <w:pPr>
              <w:snapToGrid w:val="0"/>
              <w:spacing w:line="276" w:lineRule="auto"/>
              <w:rPr>
                <w:szCs w:val="21"/>
              </w:rPr>
            </w:pPr>
            <w:r>
              <w:rPr>
                <w:rFonts w:hint="eastAsia"/>
                <w:szCs w:val="21"/>
              </w:rPr>
              <w:t>8</w:t>
            </w:r>
            <w:r>
              <w:rPr>
                <w:szCs w:val="21"/>
              </w:rPr>
              <w:t>.</w:t>
            </w:r>
            <w:r>
              <w:rPr>
                <w:rFonts w:hint="eastAsia"/>
                <w:szCs w:val="21"/>
              </w:rPr>
              <w:t>石材幕墙面板色差小或无色差，幕墙胶缝无严重污染；</w:t>
            </w:r>
          </w:p>
          <w:p>
            <w:pPr>
              <w:snapToGrid w:val="0"/>
              <w:spacing w:line="276" w:lineRule="auto"/>
              <w:rPr>
                <w:szCs w:val="21"/>
              </w:rPr>
            </w:pPr>
            <w:r>
              <w:rPr>
                <w:rFonts w:hint="eastAsia"/>
                <w:szCs w:val="21"/>
              </w:rPr>
              <w:t>9</w:t>
            </w:r>
            <w:r>
              <w:rPr>
                <w:szCs w:val="21"/>
              </w:rPr>
              <w:t>.</w:t>
            </w:r>
            <w:r>
              <w:rPr>
                <w:rFonts w:hint="eastAsia"/>
                <w:szCs w:val="21"/>
              </w:rPr>
              <w:t>防火封修做法规范，符合设计要求，缝隙用防火密封胶密封；</w:t>
            </w:r>
          </w:p>
          <w:p>
            <w:pPr>
              <w:snapToGrid w:val="0"/>
              <w:spacing w:line="240" w:lineRule="atLeast"/>
              <w:rPr>
                <w:szCs w:val="21"/>
              </w:rPr>
            </w:pPr>
            <w:r>
              <w:rPr>
                <w:rFonts w:hint="eastAsia"/>
                <w:szCs w:val="21"/>
              </w:rPr>
              <w:t>1</w:t>
            </w:r>
            <w:r>
              <w:rPr>
                <w:szCs w:val="21"/>
              </w:rPr>
              <w:t>0.</w:t>
            </w:r>
            <w:r>
              <w:rPr>
                <w:rFonts w:hint="eastAsia"/>
                <w:szCs w:val="21"/>
              </w:rPr>
              <w:t>屋面女儿墙避雷导线安装规范且符合设计要求；</w:t>
            </w:r>
          </w:p>
          <w:p>
            <w:pPr>
              <w:snapToGrid w:val="0"/>
              <w:spacing w:line="276" w:lineRule="auto"/>
              <w:rPr>
                <w:szCs w:val="21"/>
              </w:rPr>
            </w:pPr>
            <w:r>
              <w:rPr>
                <w:rFonts w:hint="eastAsia"/>
                <w:szCs w:val="21"/>
              </w:rPr>
              <w:t>1</w:t>
            </w:r>
            <w:r>
              <w:rPr>
                <w:szCs w:val="21"/>
              </w:rPr>
              <w:t>1.</w:t>
            </w:r>
            <w:r>
              <w:rPr>
                <w:rFonts w:hint="eastAsia"/>
                <w:szCs w:val="21"/>
              </w:rPr>
              <w:t>工程无安全隐患；</w:t>
            </w:r>
          </w:p>
          <w:p>
            <w:pPr>
              <w:spacing w:line="276" w:lineRule="auto"/>
              <w:rPr>
                <w:szCs w:val="21"/>
              </w:rPr>
            </w:pPr>
            <w:r>
              <w:rPr>
                <w:rFonts w:hint="eastAsia"/>
                <w:szCs w:val="21"/>
              </w:rPr>
              <w:t>1</w:t>
            </w:r>
            <w:r>
              <w:rPr>
                <w:szCs w:val="21"/>
              </w:rPr>
              <w:t>2.</w:t>
            </w:r>
            <w:r>
              <w:rPr>
                <w:rFonts w:hint="eastAsia"/>
                <w:szCs w:val="21"/>
              </w:rPr>
              <w:t>构造上应安全可靠，应符合《关于淘汰建筑幕墙落后产品和技术的指导意见》（中装协[2016]89号）文件的要求；</w:t>
            </w:r>
          </w:p>
          <w:p>
            <w:pPr>
              <w:spacing w:line="276" w:lineRule="auto"/>
              <w:rPr>
                <w:szCs w:val="21"/>
              </w:rPr>
            </w:pPr>
            <w:r>
              <w:rPr>
                <w:rFonts w:hint="eastAsia"/>
                <w:szCs w:val="21"/>
              </w:rPr>
              <w:t>1</w:t>
            </w:r>
            <w:r>
              <w:rPr>
                <w:szCs w:val="21"/>
              </w:rPr>
              <w:t>3.</w:t>
            </w:r>
            <w:r>
              <w:rPr>
                <w:rFonts w:hint="eastAsia"/>
                <w:szCs w:val="21"/>
              </w:rPr>
              <w:t>应符合《关于进一步加强玻璃幕墙安全防护工作的通知》（建标[2015]38号）文件的要求；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szCs w:val="21"/>
              </w:rPr>
            </w:pPr>
            <w:r>
              <w:rPr>
                <w:rFonts w:hint="eastAsia" w:ascii="Calibri" w:hAnsi="Calibri"/>
                <w:szCs w:val="21"/>
              </w:rPr>
              <w:t>1.</w:t>
            </w:r>
            <w:r>
              <w:rPr>
                <w:rFonts w:hint="eastAsia"/>
                <w:szCs w:val="21"/>
              </w:rPr>
              <w:t>未按住建部建标[2015]38号文件或中装协[2016]89号文件要求设计、施工的（</w:t>
            </w:r>
            <w:r>
              <w:rPr>
                <w:szCs w:val="21"/>
              </w:rPr>
              <w:t>扣</w:t>
            </w:r>
            <w:r>
              <w:rPr>
                <w:rFonts w:hint="eastAsia"/>
                <w:szCs w:val="21"/>
              </w:rPr>
              <w:t>10-20分）；</w:t>
            </w:r>
          </w:p>
          <w:p>
            <w:pPr>
              <w:snapToGrid w:val="0"/>
              <w:spacing w:line="276" w:lineRule="auto"/>
              <w:rPr>
                <w:szCs w:val="21"/>
              </w:rPr>
            </w:pPr>
            <w:r>
              <w:rPr>
                <w:rFonts w:hint="eastAsia"/>
                <w:szCs w:val="21"/>
              </w:rPr>
              <w:t>2.工程存在严重质量、安全隐患（每项扣10-20分）；</w:t>
            </w:r>
          </w:p>
          <w:p>
            <w:pPr>
              <w:snapToGrid w:val="0"/>
              <w:spacing w:line="276" w:lineRule="auto"/>
              <w:rPr>
                <w:szCs w:val="21"/>
              </w:rPr>
            </w:pPr>
            <w:r>
              <w:rPr>
                <w:rFonts w:hint="eastAsia"/>
                <w:szCs w:val="21"/>
              </w:rPr>
              <w:t>3.设计的结构构造存在严重的安全隐患或严重的质量问题（扣10-20分）；</w:t>
            </w:r>
          </w:p>
          <w:p>
            <w:pPr>
              <w:snapToGrid w:val="0"/>
              <w:spacing w:line="276" w:lineRule="auto"/>
              <w:rPr>
                <w:szCs w:val="21"/>
              </w:rPr>
            </w:pPr>
            <w:r>
              <w:rPr>
                <w:rFonts w:hint="eastAsia"/>
                <w:szCs w:val="21"/>
              </w:rPr>
              <w:t>4.施工现场打结构胶（全玻璃幕墙除外）（每项扣1-3分）；</w:t>
            </w:r>
          </w:p>
          <w:p>
            <w:pPr>
              <w:snapToGrid w:val="0"/>
              <w:spacing w:line="276" w:lineRule="auto"/>
              <w:rPr>
                <w:rFonts w:ascii="Calibri" w:hAnsi="Calibri"/>
                <w:szCs w:val="21"/>
              </w:rPr>
            </w:pPr>
            <w:r>
              <w:rPr>
                <w:rFonts w:hint="eastAsia"/>
                <w:szCs w:val="21"/>
              </w:rPr>
              <w:t>5.其它不符合要求或不合规情况（每项扣0.5-2分）。</w:t>
            </w:r>
          </w:p>
        </w:tc>
        <w:tc>
          <w:tcPr>
            <w:tcW w:w="1701" w:type="dxa"/>
            <w:tcBorders>
              <w:left w:val="single" w:color="auto" w:sz="4" w:space="0"/>
              <w:right w:val="single" w:color="auto" w:sz="4" w:space="0"/>
            </w:tcBorders>
            <w:noWrap w:val="0"/>
            <w:vAlign w:val="center"/>
          </w:tcPr>
          <w:p>
            <w:pPr>
              <w:snapToGrid w:val="0"/>
              <w:spacing w:line="288" w:lineRule="auto"/>
              <w:rPr>
                <w:szCs w:val="21"/>
              </w:rPr>
            </w:pPr>
            <w:r>
              <w:rPr>
                <w:rFonts w:hint="eastAsia"/>
                <w:szCs w:val="21"/>
              </w:rPr>
              <w:t>工程实体外观质量及整体效果；</w:t>
            </w:r>
          </w:p>
          <w:p>
            <w:pPr>
              <w:snapToGrid w:val="0"/>
              <w:spacing w:line="288" w:lineRule="auto"/>
              <w:rPr>
                <w:szCs w:val="21"/>
              </w:rPr>
            </w:pPr>
          </w:p>
          <w:p>
            <w:pPr>
              <w:snapToGrid w:val="0"/>
              <w:spacing w:line="288" w:lineRule="auto"/>
              <w:rPr>
                <w:szCs w:val="21"/>
              </w:rPr>
            </w:pPr>
            <w:r>
              <w:rPr>
                <w:rFonts w:hint="eastAsia"/>
                <w:szCs w:val="21"/>
              </w:rPr>
              <w:t>做工精细程度及材料质量；</w:t>
            </w:r>
          </w:p>
          <w:p>
            <w:pPr>
              <w:snapToGrid w:val="0"/>
              <w:spacing w:line="288" w:lineRule="auto"/>
              <w:rPr>
                <w:szCs w:val="21"/>
              </w:rPr>
            </w:pPr>
          </w:p>
          <w:p>
            <w:pPr>
              <w:snapToGrid w:val="0"/>
              <w:spacing w:line="288" w:lineRule="auto"/>
              <w:rPr>
                <w:szCs w:val="21"/>
              </w:rPr>
            </w:pPr>
            <w:r>
              <w:rPr>
                <w:rFonts w:hint="eastAsia"/>
                <w:szCs w:val="21"/>
              </w:rPr>
              <w:t>严寒、台风等特殊气候地区的应对措施</w:t>
            </w:r>
          </w:p>
          <w:p>
            <w:pPr>
              <w:snapToGrid w:val="0"/>
              <w:spacing w:line="288" w:lineRule="auto"/>
              <w:rPr>
                <w:szCs w:val="21"/>
              </w:rPr>
            </w:pPr>
          </w:p>
          <w:p>
            <w:pPr>
              <w:snapToGrid w:val="0"/>
              <w:spacing w:line="288" w:lineRule="auto"/>
              <w:rPr>
                <w:szCs w:val="21"/>
              </w:rPr>
            </w:pPr>
            <w:r>
              <w:rPr>
                <w:rFonts w:hint="eastAsia"/>
                <w:szCs w:val="21"/>
              </w:rPr>
              <w:t>工程实体与设计图、竣工图、质量管理资料的符合性；</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结合图纸、质量管理资料等查工程实体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567" w:type="dxa"/>
            <w:tcBorders>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6</w:t>
            </w:r>
          </w:p>
        </w:tc>
        <w:tc>
          <w:tcPr>
            <w:tcW w:w="1277"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ascii="宋体" w:hAnsi="宋体"/>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szCs w:val="21"/>
              </w:rPr>
            </w:pPr>
            <w:r>
              <w:rPr>
                <w:rFonts w:hint="eastAsia" w:ascii="Calibri" w:hAnsi="Calibri"/>
                <w:szCs w:val="21"/>
              </w:rPr>
              <w:t>1</w:t>
            </w:r>
            <w:r>
              <w:rPr>
                <w:rFonts w:ascii="Calibri" w:hAnsi="Calibri"/>
                <w:szCs w:val="21"/>
              </w:rPr>
              <w:t>.</w:t>
            </w:r>
            <w:r>
              <w:rPr>
                <w:rFonts w:hint="eastAsia" w:ascii="Calibri" w:hAnsi="Calibri"/>
                <w:szCs w:val="21"/>
              </w:rPr>
              <w:t>创新技术、工艺、工法等；</w:t>
            </w:r>
          </w:p>
          <w:p>
            <w:pPr>
              <w:snapToGrid w:val="0"/>
              <w:spacing w:line="360" w:lineRule="auto"/>
              <w:rPr>
                <w:szCs w:val="21"/>
              </w:rPr>
            </w:pPr>
            <w:r>
              <w:rPr>
                <w:rFonts w:hint="eastAsia"/>
                <w:szCs w:val="21"/>
              </w:rPr>
              <w:t>2</w:t>
            </w:r>
            <w:r>
              <w:rPr>
                <w:szCs w:val="21"/>
              </w:rPr>
              <w:t>.</w:t>
            </w:r>
            <w:r>
              <w:rPr>
                <w:rFonts w:hint="eastAsia"/>
                <w:szCs w:val="21"/>
              </w:rPr>
              <w:t>采用了新材料、新工艺、新技术或有利于环保节能等的材料、技术、措施、工艺、工法等；</w:t>
            </w:r>
          </w:p>
          <w:p>
            <w:pPr>
              <w:snapToGrid w:val="0"/>
              <w:spacing w:line="360" w:lineRule="auto"/>
              <w:rPr>
                <w:szCs w:val="21"/>
              </w:rPr>
            </w:pPr>
            <w:r>
              <w:rPr>
                <w:rFonts w:hint="eastAsia"/>
                <w:szCs w:val="21"/>
              </w:rPr>
              <w:t>3</w:t>
            </w:r>
            <w:r>
              <w:rPr>
                <w:szCs w:val="21"/>
              </w:rPr>
              <w:t>.</w:t>
            </w:r>
            <w:r>
              <w:rPr>
                <w:rFonts w:hint="eastAsia"/>
                <w:szCs w:val="21"/>
              </w:rPr>
              <w:t>获得了与申报工程相关的发明专利、实用新型专利、省级或以上工艺工法等；</w:t>
            </w:r>
          </w:p>
          <w:p>
            <w:pPr>
              <w:snapToGrid w:val="0"/>
              <w:spacing w:line="360" w:lineRule="auto"/>
              <w:rPr>
                <w:szCs w:val="21"/>
              </w:rPr>
            </w:pPr>
            <w:r>
              <w:rPr>
                <w:rFonts w:hint="eastAsia"/>
                <w:szCs w:val="21"/>
              </w:rPr>
              <w:t>4</w:t>
            </w:r>
            <w:r>
              <w:rPr>
                <w:szCs w:val="21"/>
              </w:rPr>
              <w:t>.</w:t>
            </w:r>
            <w:r>
              <w:rPr>
                <w:rFonts w:hint="eastAsia"/>
                <w:szCs w:val="21"/>
              </w:rPr>
              <w:t>本工程已获得中装协建筑装饰行业科学技术奖；</w:t>
            </w:r>
          </w:p>
          <w:p>
            <w:pPr>
              <w:snapToGrid w:val="0"/>
              <w:spacing w:line="360" w:lineRule="auto"/>
              <w:rPr>
                <w:szCs w:val="21"/>
              </w:rPr>
            </w:pPr>
            <w:r>
              <w:rPr>
                <w:rFonts w:hint="eastAsia"/>
                <w:szCs w:val="21"/>
              </w:rPr>
              <w:t>5</w:t>
            </w:r>
            <w:r>
              <w:rPr>
                <w:szCs w:val="21"/>
              </w:rPr>
              <w:t>.</w:t>
            </w:r>
            <w:r>
              <w:rPr>
                <w:rFonts w:hint="eastAsia"/>
                <w:szCs w:val="21"/>
              </w:rPr>
              <w:t>装配式技术应用情况。</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缺少其中内容，扣0.5-3分。</w:t>
            </w:r>
          </w:p>
        </w:tc>
        <w:tc>
          <w:tcPr>
            <w:tcW w:w="1701"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p>
        </w:tc>
        <w:tc>
          <w:tcPr>
            <w:tcW w:w="851"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查：工程实体、图纸、质量管理与技术资料等。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4"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7</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szCs w:val="21"/>
              </w:rPr>
            </w:pPr>
            <w:r>
              <w:rPr>
                <w:rFonts w:hint="eastAsia"/>
                <w:szCs w:val="21"/>
              </w:rPr>
              <w:t>1</w:t>
            </w:r>
            <w:r>
              <w:rPr>
                <w:szCs w:val="21"/>
              </w:rPr>
              <w:t>.</w:t>
            </w:r>
            <w:r>
              <w:rPr>
                <w:rFonts w:hint="eastAsia"/>
                <w:szCs w:val="21"/>
              </w:rPr>
              <w:t>组织工作准备充分，人员到位（项目经理或执行经理、技术负责人和资料员等相关人员应到场），汇报PPT内容重点突出、清晰简洁；</w:t>
            </w:r>
          </w:p>
          <w:p>
            <w:pPr>
              <w:snapToGrid w:val="0"/>
              <w:spacing w:line="360" w:lineRule="auto"/>
              <w:rPr>
                <w:szCs w:val="21"/>
              </w:rPr>
            </w:pPr>
            <w:r>
              <w:rPr>
                <w:rFonts w:hint="eastAsia"/>
                <w:szCs w:val="21"/>
              </w:rPr>
              <w:t>2</w:t>
            </w:r>
            <w:r>
              <w:rPr>
                <w:szCs w:val="21"/>
              </w:rPr>
              <w:t>.</w:t>
            </w:r>
            <w:r>
              <w:rPr>
                <w:rFonts w:hint="eastAsia"/>
                <w:szCs w:val="21"/>
              </w:rPr>
              <w:t>资料准备充分有序，易于查找；</w:t>
            </w:r>
          </w:p>
          <w:p>
            <w:pPr>
              <w:snapToGrid w:val="0"/>
              <w:spacing w:line="360" w:lineRule="auto"/>
              <w:rPr>
                <w:szCs w:val="21"/>
              </w:rPr>
            </w:pPr>
            <w:r>
              <w:rPr>
                <w:rFonts w:hint="eastAsia"/>
                <w:szCs w:val="21"/>
              </w:rPr>
              <w:t>3</w:t>
            </w:r>
            <w:r>
              <w:rPr>
                <w:szCs w:val="21"/>
              </w:rPr>
              <w:t>.</w:t>
            </w:r>
            <w:r>
              <w:rPr>
                <w:rFonts w:hint="eastAsia"/>
                <w:szCs w:val="21"/>
              </w:rPr>
              <w:t>用户沟通意见；</w:t>
            </w:r>
          </w:p>
          <w:p>
            <w:pPr>
              <w:snapToGrid w:val="0"/>
              <w:spacing w:line="360" w:lineRule="auto"/>
              <w:rPr>
                <w:szCs w:val="21"/>
              </w:rPr>
            </w:pPr>
            <w:r>
              <w:rPr>
                <w:rFonts w:hint="eastAsia"/>
                <w:szCs w:val="21"/>
              </w:rPr>
              <w:t>4</w:t>
            </w:r>
            <w:r>
              <w:rPr>
                <w:szCs w:val="21"/>
              </w:rPr>
              <w:t>.</w:t>
            </w:r>
            <w:r>
              <w:rPr>
                <w:rFonts w:hint="eastAsia"/>
                <w:szCs w:val="21"/>
              </w:rPr>
              <w:t>工程实体检查顺畅不受阻。</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szCs w:val="21"/>
              </w:rPr>
            </w:pPr>
            <w:r>
              <w:rPr>
                <w:rFonts w:hint="eastAsia"/>
                <w:szCs w:val="21"/>
              </w:rPr>
              <w:t>1</w:t>
            </w:r>
            <w:r>
              <w:rPr>
                <w:szCs w:val="21"/>
              </w:rPr>
              <w:t>.</w:t>
            </w:r>
            <w:r>
              <w:rPr>
                <w:rFonts w:hint="eastAsia"/>
                <w:szCs w:val="21"/>
              </w:rPr>
              <w:t>工程施工主要负责人均未到场（扣1-2分）；</w:t>
            </w:r>
          </w:p>
          <w:p>
            <w:pPr>
              <w:snapToGrid w:val="0"/>
              <w:spacing w:line="276" w:lineRule="auto"/>
              <w:rPr>
                <w:szCs w:val="21"/>
              </w:rPr>
            </w:pPr>
            <w:r>
              <w:rPr>
                <w:rFonts w:hint="eastAsia"/>
                <w:szCs w:val="21"/>
              </w:rPr>
              <w:t>2</w:t>
            </w:r>
            <w:r>
              <w:rPr>
                <w:szCs w:val="21"/>
              </w:rPr>
              <w:t>.资料准备无序不齐全（扣</w:t>
            </w:r>
            <w:r>
              <w:rPr>
                <w:rFonts w:hint="eastAsia"/>
                <w:szCs w:val="21"/>
              </w:rPr>
              <w:t>1-2分</w:t>
            </w:r>
            <w:r>
              <w:rPr>
                <w:szCs w:val="21"/>
              </w:rPr>
              <w:t>）；</w:t>
            </w:r>
          </w:p>
          <w:p>
            <w:pPr>
              <w:snapToGrid w:val="0"/>
              <w:spacing w:line="276" w:lineRule="auto"/>
              <w:rPr>
                <w:szCs w:val="21"/>
              </w:rPr>
            </w:pPr>
            <w:r>
              <w:rPr>
                <w:rFonts w:hint="eastAsia"/>
                <w:szCs w:val="21"/>
              </w:rPr>
              <w:t>3</w:t>
            </w:r>
            <w:r>
              <w:rPr>
                <w:szCs w:val="21"/>
              </w:rPr>
              <w:t>.</w:t>
            </w:r>
            <w:r>
              <w:rPr>
                <w:rFonts w:hint="eastAsia"/>
                <w:szCs w:val="21"/>
              </w:rPr>
              <w:t>总体印象不佳（扣1-5分）；</w:t>
            </w:r>
          </w:p>
          <w:p>
            <w:pPr>
              <w:snapToGrid w:val="0"/>
              <w:spacing w:line="276" w:lineRule="auto"/>
              <w:rPr>
                <w:szCs w:val="21"/>
              </w:rPr>
            </w:pPr>
            <w:r>
              <w:rPr>
                <w:rFonts w:hint="eastAsia"/>
                <w:szCs w:val="21"/>
              </w:rPr>
              <w:t>4</w:t>
            </w:r>
            <w:r>
              <w:rPr>
                <w:szCs w:val="21"/>
              </w:rPr>
              <w:t>.</w:t>
            </w:r>
            <w:r>
              <w:rPr>
                <w:rFonts w:hint="eastAsia"/>
                <w:szCs w:val="21"/>
              </w:rPr>
              <w:t>其它不规范、不到位情况（每项扣0.5-1分）。</w:t>
            </w:r>
          </w:p>
        </w:tc>
        <w:tc>
          <w:tcPr>
            <w:tcW w:w="1701" w:type="dxa"/>
            <w:tcBorders>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人员、资料、过程安排准备不足；未做PPT汇报资料等</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查：</w:t>
            </w:r>
          </w:p>
          <w:p>
            <w:pPr>
              <w:numPr>
                <w:ilvl w:val="0"/>
                <w:numId w:val="1"/>
              </w:numPr>
              <w:snapToGrid w:val="0"/>
              <w:spacing w:line="288" w:lineRule="auto"/>
              <w:ind w:left="16" w:hanging="16"/>
              <w:rPr>
                <w:szCs w:val="21"/>
              </w:rPr>
            </w:pPr>
            <w:r>
              <w:rPr>
                <w:rFonts w:hint="eastAsia"/>
                <w:szCs w:val="21"/>
              </w:rPr>
              <w:t>组织准备情况；</w:t>
            </w:r>
          </w:p>
          <w:p>
            <w:pPr>
              <w:numPr>
                <w:ilvl w:val="0"/>
                <w:numId w:val="1"/>
              </w:numPr>
              <w:snapToGrid w:val="0"/>
              <w:spacing w:line="288" w:lineRule="auto"/>
              <w:ind w:left="16" w:hanging="16"/>
              <w:rPr>
                <w:szCs w:val="21"/>
              </w:rPr>
            </w:pPr>
            <w:r>
              <w:rPr>
                <w:rFonts w:hint="eastAsia"/>
                <w:szCs w:val="21"/>
              </w:rPr>
              <w:t>PPT（项目概况、施工范围、重点难点亮点、施工过程中情况图片等，汇报时间10分钟内）；</w:t>
            </w:r>
          </w:p>
          <w:p>
            <w:pPr>
              <w:numPr>
                <w:ilvl w:val="0"/>
                <w:numId w:val="1"/>
              </w:numPr>
              <w:snapToGrid w:val="0"/>
              <w:spacing w:line="288" w:lineRule="auto"/>
              <w:ind w:left="16" w:hanging="16"/>
              <w:rPr>
                <w:szCs w:val="21"/>
              </w:rPr>
            </w:pPr>
            <w:r>
              <w:rPr>
                <w:rFonts w:hint="eastAsia"/>
                <w:szCs w:val="21"/>
              </w:rPr>
              <w:t>用户意见。</w:t>
            </w:r>
          </w:p>
        </w:tc>
      </w:tr>
    </w:tbl>
    <w:p>
      <w:pPr>
        <w:sectPr>
          <w:pgSz w:w="16838" w:h="11906" w:orient="landscape"/>
          <w:pgMar w:top="1247" w:right="1440" w:bottom="1587" w:left="1440" w:header="851" w:footer="992" w:gutter="0"/>
          <w:pgNumType w:fmt="numberInDash"/>
          <w:cols w:space="720" w:num="1"/>
          <w:docGrid w:type="lines" w:linePitch="312" w:charSpace="0"/>
        </w:sectPr>
      </w:pPr>
    </w:p>
    <w:p>
      <w:pPr>
        <w:jc w:val="center"/>
        <w:rPr>
          <w:rFonts w:ascii="宋体" w:hAnsi="宋体"/>
          <w:bCs/>
          <w:sz w:val="30"/>
          <w:szCs w:val="30"/>
        </w:rPr>
      </w:pPr>
      <w:r>
        <w:rPr>
          <w:rFonts w:hint="eastAsia" w:ascii="黑体" w:hAnsi="黑体" w:eastAsia="黑体"/>
          <w:sz w:val="30"/>
          <w:szCs w:val="30"/>
        </w:rPr>
        <w:t>五、工程复查实施细则</w:t>
      </w:r>
      <w:r>
        <w:rPr>
          <w:rFonts w:hint="eastAsia" w:ascii="宋体" w:hAnsi="宋体"/>
          <w:bCs/>
          <w:sz w:val="30"/>
          <w:szCs w:val="30"/>
        </w:rPr>
        <w:t>——建筑幕墙类（</w:t>
      </w:r>
      <w:r>
        <w:rPr>
          <w:rFonts w:hint="eastAsia" w:ascii="宋体" w:hAnsi="宋体"/>
          <w:bCs/>
          <w:sz w:val="24"/>
        </w:rPr>
        <w:t>采光顶与金属屋面工程</w:t>
      </w:r>
      <w:r>
        <w:rPr>
          <w:rFonts w:hint="eastAsia" w:ascii="宋体" w:hAnsi="宋体"/>
          <w:bCs/>
          <w:sz w:val="30"/>
          <w:szCs w:val="30"/>
        </w:rPr>
        <w:t>）</w:t>
      </w:r>
    </w:p>
    <w:tbl>
      <w:tblPr>
        <w:tblStyle w:val="2"/>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6"/>
        <w:gridCol w:w="5103"/>
        <w:gridCol w:w="2410"/>
        <w:gridCol w:w="1701"/>
        <w:gridCol w:w="70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9" w:hRule="atLeast"/>
        </w:trPr>
        <w:tc>
          <w:tcPr>
            <w:tcW w:w="567" w:type="dxa"/>
            <w:vMerge w:val="restart"/>
            <w:tcBorders>
              <w:top w:val="single" w:color="auto" w:sz="4" w:space="0"/>
              <w:left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1</w:t>
            </w:r>
          </w:p>
        </w:tc>
        <w:tc>
          <w:tcPr>
            <w:tcW w:w="1276" w:type="dxa"/>
            <w:vMerge w:val="restart"/>
            <w:tcBorders>
              <w:top w:val="single" w:color="auto" w:sz="4" w:space="0"/>
              <w:left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资料</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szCs w:val="21"/>
              </w:rPr>
            </w:pPr>
            <w:r>
              <w:rPr>
                <w:rFonts w:hint="eastAsia" w:ascii="黑体" w:hAnsi="黑体" w:eastAsia="黑体"/>
                <w:szCs w:val="21"/>
              </w:rPr>
              <w:t>必要文件：</w:t>
            </w:r>
          </w:p>
          <w:p>
            <w:pPr>
              <w:rPr>
                <w:rFonts w:ascii="宋体" w:hAnsi="宋体"/>
                <w:szCs w:val="21"/>
              </w:rPr>
            </w:pPr>
            <w:r>
              <w:rPr>
                <w:rFonts w:hint="eastAsia" w:ascii="宋体" w:hAnsi="宋体"/>
                <w:szCs w:val="21"/>
              </w:rPr>
              <w:t>1.企业营业执照、资质等级证书、安全生产许可证（上一年度参评的单位可提供在有效期内的加盖本单位公章的复印件）；</w:t>
            </w:r>
          </w:p>
          <w:p>
            <w:pPr>
              <w:rPr>
                <w:rFonts w:ascii="宋体" w:hAnsi="宋体"/>
                <w:szCs w:val="21"/>
              </w:rPr>
            </w:pPr>
            <w:r>
              <w:rPr>
                <w:rFonts w:hint="eastAsia" w:ascii="宋体" w:hAnsi="宋体"/>
                <w:szCs w:val="21"/>
              </w:rPr>
              <w:t>2.项目经理注册建造师证及安全考核合格证书；</w:t>
            </w:r>
          </w:p>
          <w:p>
            <w:pPr>
              <w:rPr>
                <w:rFonts w:ascii="宋体" w:hAnsi="宋体"/>
                <w:szCs w:val="21"/>
              </w:rPr>
            </w:pPr>
            <w:r>
              <w:rPr>
                <w:rFonts w:hint="eastAsia" w:ascii="宋体" w:hAnsi="宋体"/>
                <w:szCs w:val="21"/>
              </w:rPr>
              <w:t>3.工程施工合同（含施工范围、面积、金额）；</w:t>
            </w:r>
          </w:p>
          <w:p>
            <w:pPr>
              <w:rPr>
                <w:rFonts w:ascii="宋体" w:hAnsi="宋体"/>
                <w:szCs w:val="21"/>
              </w:rPr>
            </w:pPr>
            <w:r>
              <w:rPr>
                <w:rFonts w:hint="eastAsia" w:ascii="宋体" w:hAnsi="宋体"/>
                <w:szCs w:val="21"/>
              </w:rPr>
              <w:t>4.施工许可证（施工许可证不单独发给幕墙工程的，可以用总包单位的施工许可证）；</w:t>
            </w:r>
          </w:p>
          <w:p>
            <w:pPr>
              <w:rPr>
                <w:rFonts w:ascii="宋体" w:hAnsi="宋体"/>
                <w:szCs w:val="21"/>
              </w:rPr>
            </w:pPr>
            <w:r>
              <w:rPr>
                <w:rFonts w:hint="eastAsia" w:ascii="宋体" w:hAnsi="宋体"/>
                <w:szCs w:val="21"/>
              </w:rPr>
              <w:t>5.采光顶或金属屋面单项竣工验收资料（单位签章必须齐全）</w:t>
            </w:r>
          </w:p>
          <w:p>
            <w:pPr>
              <w:rPr>
                <w:rFonts w:ascii="宋体" w:hAnsi="宋体"/>
                <w:szCs w:val="21"/>
              </w:rPr>
            </w:pPr>
            <w:r>
              <w:rPr>
                <w:rFonts w:hint="eastAsia" w:ascii="宋体" w:hAnsi="宋体"/>
                <w:szCs w:val="21"/>
              </w:rPr>
              <w:t>6.消防验收（工程名称、验收范围、主管部门公章、日期必须齐全；结论为合格；消防验收意见书</w:t>
            </w:r>
            <w:bookmarkStart w:id="7" w:name="_GoBack"/>
            <w:bookmarkEnd w:id="7"/>
            <w:r>
              <w:rPr>
                <w:rFonts w:hint="eastAsia" w:ascii="宋体" w:hAnsi="宋体"/>
                <w:szCs w:val="21"/>
              </w:rPr>
              <w:t>中提出的整改意见如涉及幕墙部分应有有关部门的复查合格记录）；</w:t>
            </w:r>
          </w:p>
          <w:p>
            <w:pPr>
              <w:rPr>
                <w:rFonts w:ascii="宋体" w:hAnsi="宋体"/>
                <w:szCs w:val="21"/>
              </w:rPr>
            </w:pPr>
            <w:r>
              <w:rPr>
                <w:rFonts w:hint="eastAsia" w:ascii="宋体" w:hAnsi="宋体"/>
                <w:szCs w:val="21"/>
              </w:rPr>
              <w:t>7.工程验收合格备案证书。</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1.必要文件有一项不合格或不符合要求者不予评审。</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必要文件应为原件或可网查的电子文件打印件并加盖申报单位鲜章</w:t>
            </w:r>
          </w:p>
        </w:tc>
        <w:tc>
          <w:tcPr>
            <w:tcW w:w="709" w:type="dxa"/>
            <w:vMerge w:val="restart"/>
            <w:tcBorders>
              <w:top w:val="single" w:color="auto" w:sz="4" w:space="0"/>
              <w:left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20分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查：相关文件资料原件；原件已存入城建档案馆或城建档案管理机构的可提供由档案馆或城建档案管理机构出具的加盖档案馆或城建档案管理机构鲜章并注明“原件存于X</w:t>
            </w:r>
            <w:r>
              <w:rPr>
                <w:rFonts w:ascii="宋体" w:hAnsi="宋体"/>
                <w:szCs w:val="21"/>
              </w:rPr>
              <w:t>XX</w:t>
            </w:r>
            <w:r>
              <w:rPr>
                <w:rFonts w:hint="eastAsia" w:ascii="宋体" w:hAnsi="宋体"/>
                <w:szCs w:val="21"/>
              </w:rPr>
              <w:t>，复印件与原件相同”字样的复印件。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2" w:hRule="atLeast"/>
        </w:trPr>
        <w:tc>
          <w:tcPr>
            <w:tcW w:w="567" w:type="dxa"/>
            <w:vMerge w:val="continue"/>
            <w:tcBorders>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276" w:type="dxa"/>
            <w:vMerge w:val="continue"/>
            <w:tcBorders>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szCs w:val="21"/>
              </w:rPr>
            </w:pPr>
            <w:r>
              <w:rPr>
                <w:rFonts w:hint="eastAsia" w:ascii="黑体" w:hAnsi="黑体" w:eastAsia="黑体"/>
                <w:szCs w:val="21"/>
              </w:rPr>
              <w:t>质量管理资料：</w:t>
            </w:r>
          </w:p>
          <w:p>
            <w:pPr>
              <w:rPr>
                <w:rFonts w:ascii="宋体" w:hAnsi="宋体"/>
                <w:szCs w:val="21"/>
              </w:rPr>
            </w:pPr>
            <w:r>
              <w:rPr>
                <w:rFonts w:hint="eastAsia" w:ascii="宋体" w:hAnsi="宋体"/>
                <w:szCs w:val="21"/>
              </w:rPr>
              <w:t>1.采光顶或金属屋面使用的主要材料应符合标准、规范要求，符合设计要求。应有出厂合格证、厂家性能检测报告；</w:t>
            </w:r>
          </w:p>
          <w:p>
            <w:pPr>
              <w:rPr>
                <w:rFonts w:ascii="宋体" w:hAnsi="宋体"/>
                <w:szCs w:val="21"/>
              </w:rPr>
            </w:pPr>
            <w:r>
              <w:rPr>
                <w:rFonts w:hint="eastAsia" w:ascii="宋体" w:hAnsi="宋体"/>
                <w:szCs w:val="21"/>
              </w:rPr>
              <w:t>2.主要材料使用前应进行复验，提供检测报告；</w:t>
            </w:r>
          </w:p>
          <w:p>
            <w:pPr>
              <w:rPr>
                <w:rFonts w:ascii="宋体" w:hAnsi="宋体"/>
                <w:szCs w:val="21"/>
              </w:rPr>
            </w:pPr>
            <w:r>
              <w:rPr>
                <w:rFonts w:hint="eastAsia" w:ascii="宋体" w:hAnsi="宋体"/>
                <w:szCs w:val="21"/>
              </w:rPr>
              <w:t>3.物理性能检测报告；抗风掀试验报告；</w:t>
            </w:r>
          </w:p>
          <w:p>
            <w:pPr>
              <w:rPr>
                <w:rFonts w:ascii="宋体" w:hAnsi="宋体"/>
                <w:szCs w:val="21"/>
              </w:rPr>
            </w:pPr>
            <w:r>
              <w:rPr>
                <w:rFonts w:hint="eastAsia" w:ascii="宋体" w:hAnsi="宋体"/>
                <w:szCs w:val="21"/>
              </w:rPr>
              <w:t>4.提供：连接件、预埋件的焊缝质量检测报告，后置埋件现场拉拨力检测报告，索杆体系预拉力张拉记录；</w:t>
            </w:r>
          </w:p>
          <w:p>
            <w:pPr>
              <w:rPr>
                <w:rFonts w:ascii="宋体" w:hAnsi="宋体"/>
                <w:szCs w:val="21"/>
              </w:rPr>
            </w:pPr>
            <w:r>
              <w:rPr>
                <w:rFonts w:hint="eastAsia" w:ascii="宋体" w:hAnsi="宋体"/>
                <w:szCs w:val="21"/>
              </w:rPr>
              <w:t>5.有隐框、半隐框玻璃板块的，必须提供硅酮结构胶、耐候密封胶的相容性、粘结性试验报告，结构胶打胶记录、蝴蝶试验记录、养护记录。耐候密封胶与结构胶应采用同一品牌的配套产品；</w:t>
            </w:r>
          </w:p>
          <w:p>
            <w:pPr>
              <w:rPr>
                <w:rFonts w:ascii="宋体" w:hAnsi="宋体"/>
                <w:szCs w:val="21"/>
              </w:rPr>
            </w:pPr>
            <w:r>
              <w:rPr>
                <w:rFonts w:hint="eastAsia" w:ascii="宋体" w:hAnsi="宋体"/>
                <w:szCs w:val="21"/>
              </w:rPr>
              <w:t>6.淋水试验记录，天沟或排水槽等关键部位的蓄水试验记录，溢流系统排水试验记录，防雷检测报告；</w:t>
            </w:r>
          </w:p>
          <w:p>
            <w:pPr>
              <w:rPr>
                <w:rFonts w:ascii="宋体" w:hAnsi="宋体"/>
                <w:szCs w:val="21"/>
              </w:rPr>
            </w:pPr>
            <w:r>
              <w:rPr>
                <w:rFonts w:hint="eastAsia" w:ascii="宋体" w:hAnsi="宋体"/>
                <w:szCs w:val="21"/>
              </w:rPr>
              <w:t>7.各连接部位应牢固、可靠，隐蔽工程符合图纸要求，隐蔽工程记录真实、齐全，并经监理签字认可（隐蔽工程包括：预埋件或后置螺栓连接；构件与主体结构连接；伸缩缝、沉降缝、抗震缝、金属板搭接封口节点；防雷节点及防火、排烟节点、屋面与山墙连接节点等）；</w:t>
            </w:r>
          </w:p>
          <w:p>
            <w:pPr>
              <w:rPr>
                <w:rFonts w:ascii="宋体" w:hAnsi="宋体"/>
                <w:szCs w:val="21"/>
              </w:rPr>
            </w:pPr>
            <w:r>
              <w:rPr>
                <w:rFonts w:hint="eastAsia" w:ascii="宋体" w:hAnsi="宋体"/>
                <w:szCs w:val="21"/>
              </w:rPr>
              <w:t>8.采用新材料的须提供耐候性、耐久性、可靠性依据。含水材料使用在严寒地区的应提供冻融复试报告。复合材料应关注温度应力产生变形导致的安全问题；</w:t>
            </w:r>
          </w:p>
          <w:p>
            <w:pPr>
              <w:rPr>
                <w:rFonts w:ascii="宋体" w:hAnsi="宋体"/>
                <w:szCs w:val="21"/>
              </w:rPr>
            </w:pPr>
            <w:r>
              <w:rPr>
                <w:rFonts w:hint="eastAsia" w:ascii="宋体" w:hAnsi="宋体"/>
                <w:szCs w:val="21"/>
              </w:rPr>
              <w:t>9.合格证、检验记录、检测报告应提供原件且真实有效。检测结果应符合设计要求及相关标准规范要求。</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1.采光顶玻璃未采用夹层玻璃（扣15分）；</w:t>
            </w:r>
          </w:p>
          <w:p>
            <w:pPr>
              <w:rPr>
                <w:rFonts w:ascii="宋体" w:hAnsi="宋体"/>
                <w:szCs w:val="21"/>
              </w:rPr>
            </w:pPr>
            <w:r>
              <w:rPr>
                <w:rFonts w:hint="eastAsia" w:ascii="宋体" w:hAnsi="宋体"/>
                <w:szCs w:val="21"/>
              </w:rPr>
              <w:t>2.主要材料质量严重不符合标准、规范和设计要求（每项扣1-3分）；</w:t>
            </w:r>
          </w:p>
          <w:p>
            <w:pPr>
              <w:rPr>
                <w:rFonts w:ascii="宋体" w:hAnsi="宋体"/>
                <w:szCs w:val="21"/>
              </w:rPr>
            </w:pPr>
            <w:r>
              <w:rPr>
                <w:rFonts w:hint="eastAsia" w:ascii="宋体" w:hAnsi="宋体"/>
                <w:szCs w:val="21"/>
              </w:rPr>
              <w:t>3.提供的主材质量证明资料与工程所用材料不符（每项扣1-2分）；</w:t>
            </w:r>
          </w:p>
          <w:p>
            <w:pPr>
              <w:rPr>
                <w:rFonts w:ascii="宋体" w:hAnsi="宋体"/>
                <w:szCs w:val="21"/>
              </w:rPr>
            </w:pPr>
            <w:r>
              <w:rPr>
                <w:rFonts w:hint="eastAsia" w:ascii="宋体" w:hAnsi="宋体"/>
                <w:szCs w:val="21"/>
              </w:rPr>
              <w:t>4.无物理性能检测报告（每项扣0.5-1分）；</w:t>
            </w:r>
          </w:p>
          <w:p>
            <w:pPr>
              <w:rPr>
                <w:rFonts w:ascii="宋体" w:hAnsi="宋体"/>
                <w:szCs w:val="21"/>
              </w:rPr>
            </w:pPr>
            <w:r>
              <w:rPr>
                <w:rFonts w:hint="eastAsia" w:ascii="宋体" w:hAnsi="宋体"/>
                <w:szCs w:val="21"/>
              </w:rPr>
              <w:t>5.其它不符合要求或不合规情况（每项扣0.5-1分）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包括但不限于材料、施工以及施工管理等方面涉及工程质量性能、安全性、可靠性等方面的质量管理资料；</w:t>
            </w:r>
          </w:p>
          <w:p>
            <w:pPr>
              <w:rPr>
                <w:rFonts w:ascii="宋体" w:hAnsi="宋体"/>
                <w:szCs w:val="21"/>
              </w:rPr>
            </w:pPr>
          </w:p>
          <w:p>
            <w:pPr>
              <w:rPr>
                <w:rFonts w:ascii="宋体" w:hAnsi="宋体"/>
                <w:szCs w:val="21"/>
              </w:rPr>
            </w:pPr>
            <w:r>
              <w:rPr>
                <w:rFonts w:hint="eastAsia" w:ascii="宋体" w:hAnsi="宋体"/>
                <w:szCs w:val="21"/>
              </w:rPr>
              <w:t>隐蔽部位的质量管理资料</w:t>
            </w:r>
          </w:p>
          <w:p>
            <w:pPr>
              <w:rPr>
                <w:rFonts w:ascii="宋体" w:hAnsi="宋体"/>
                <w:szCs w:val="21"/>
              </w:rPr>
            </w:pPr>
          </w:p>
          <w:p>
            <w:pPr>
              <w:snapToGrid w:val="0"/>
              <w:spacing w:line="288" w:lineRule="auto"/>
              <w:jc w:val="left"/>
              <w:rPr>
                <w:rFonts w:ascii="宋体" w:hAnsi="宋体"/>
                <w:szCs w:val="21"/>
              </w:rPr>
            </w:pPr>
            <w:r>
              <w:rPr>
                <w:rFonts w:hint="eastAsia" w:ascii="宋体" w:hAnsi="宋体"/>
                <w:szCs w:val="21"/>
              </w:rPr>
              <w:t>高寒、台风等特殊气候地区的质量管理资料</w:t>
            </w:r>
          </w:p>
        </w:tc>
        <w:tc>
          <w:tcPr>
            <w:tcW w:w="709" w:type="dxa"/>
            <w:vMerge w:val="continue"/>
            <w:tcBorders>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9" w:hRule="atLeast"/>
        </w:trPr>
        <w:tc>
          <w:tcPr>
            <w:tcW w:w="567" w:type="dxa"/>
            <w:tcBorders>
              <w:top w:val="single" w:color="auto" w:sz="4" w:space="0"/>
              <w:left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2</w:t>
            </w:r>
          </w:p>
        </w:tc>
        <w:tc>
          <w:tcPr>
            <w:tcW w:w="1276" w:type="dxa"/>
            <w:tcBorders>
              <w:top w:val="single" w:color="auto" w:sz="4" w:space="0"/>
              <w:left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热工计算书</w:t>
            </w:r>
          </w:p>
        </w:tc>
        <w:tc>
          <w:tcPr>
            <w:tcW w:w="5103" w:type="dxa"/>
            <w:tcBorders>
              <w:top w:val="single" w:color="auto" w:sz="4" w:space="0"/>
              <w:left w:val="single" w:color="auto" w:sz="4" w:space="0"/>
              <w:right w:val="single" w:color="auto" w:sz="4" w:space="0"/>
            </w:tcBorders>
            <w:noWrap w:val="0"/>
            <w:vAlign w:val="center"/>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工程所有的采光顶和金属屋面类型都应有热工计算或建筑设计单位节能报告书；无保温隔热要求的采光顶和金属屋面不用热工计算；</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应提供建筑设计单位出具的建筑整体的节能计算书或建筑施工图设计说明中的节能专篇，来明确采光顶或金属屋面应当达到的热工性能具体数值；</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热工计算书审批签字手续应齐全，加盖设计计算单位的公章或出图章；</w:t>
            </w:r>
          </w:p>
          <w:p>
            <w:pPr>
              <w:rPr>
                <w:rFonts w:ascii="宋体" w:hAnsi="宋体"/>
                <w:szCs w:val="21"/>
              </w:rPr>
            </w:pPr>
            <w:r>
              <w:rPr>
                <w:rFonts w:hint="eastAsia" w:ascii="宋体" w:hAnsi="宋体"/>
                <w:szCs w:val="21"/>
              </w:rPr>
              <w:t>4.寒冷和严寒地区采光顶应进行结露性能评价计算。</w:t>
            </w:r>
          </w:p>
        </w:tc>
        <w:tc>
          <w:tcPr>
            <w:tcW w:w="2410" w:type="dxa"/>
            <w:tcBorders>
              <w:top w:val="single" w:color="auto" w:sz="4" w:space="0"/>
              <w:left w:val="single" w:color="auto" w:sz="4" w:space="0"/>
              <w:right w:val="single" w:color="auto" w:sz="4" w:space="0"/>
            </w:tcBorders>
            <w:noWrap w:val="0"/>
            <w:vAlign w:val="center"/>
          </w:tcPr>
          <w:p>
            <w:pPr>
              <w:ind w:left="2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无热工计算书（扣5分）；</w:t>
            </w:r>
          </w:p>
          <w:p>
            <w:pPr>
              <w:rPr>
                <w:rFonts w:ascii="宋体" w:hAnsi="宋体"/>
                <w:szCs w:val="21"/>
              </w:rPr>
            </w:pPr>
            <w:r>
              <w:rPr>
                <w:rFonts w:hint="eastAsia" w:ascii="宋体" w:hAnsi="宋体"/>
                <w:szCs w:val="21"/>
              </w:rPr>
              <w:t>2.计算出现严重错误或计算结果不满足建筑节能设计要求（每项扣0.5-1分）；</w:t>
            </w:r>
          </w:p>
          <w:p>
            <w:pPr>
              <w:rPr>
                <w:rFonts w:ascii="宋体" w:hAnsi="宋体"/>
                <w:szCs w:val="21"/>
              </w:rPr>
            </w:pPr>
            <w:r>
              <w:rPr>
                <w:rFonts w:hint="eastAsia" w:ascii="宋体" w:hAnsi="宋体"/>
                <w:szCs w:val="21"/>
              </w:rPr>
              <w:t>3.其它不符合要求或不合规情况（扣0.5-1分）</w:t>
            </w:r>
          </w:p>
        </w:tc>
        <w:tc>
          <w:tcPr>
            <w:tcW w:w="1701" w:type="dxa"/>
            <w:tcBorders>
              <w:top w:val="single" w:color="auto" w:sz="4" w:space="0"/>
              <w:left w:val="single" w:color="auto" w:sz="4" w:space="0"/>
              <w:right w:val="single" w:color="auto" w:sz="4" w:space="0"/>
            </w:tcBorders>
            <w:noWrap w:val="0"/>
            <w:vAlign w:val="center"/>
          </w:tcPr>
          <w:p>
            <w:pPr>
              <w:rPr>
                <w:rFonts w:ascii="宋体" w:hAnsi="宋体"/>
                <w:szCs w:val="21"/>
              </w:rPr>
            </w:pPr>
            <w:r>
              <w:rPr>
                <w:rFonts w:hint="eastAsia" w:ascii="宋体" w:hAnsi="宋体"/>
                <w:szCs w:val="21"/>
              </w:rPr>
              <w:t>无无热工计算书或缺少部分热工计算书；</w:t>
            </w:r>
          </w:p>
          <w:p>
            <w:pPr>
              <w:rPr>
                <w:rFonts w:ascii="宋体" w:hAnsi="宋体"/>
                <w:szCs w:val="21"/>
              </w:rPr>
            </w:pPr>
            <w:r>
              <w:rPr>
                <w:rFonts w:hint="eastAsia" w:ascii="宋体" w:hAnsi="宋体"/>
                <w:szCs w:val="21"/>
              </w:rPr>
              <w:t>计算出现严重错误；</w:t>
            </w:r>
          </w:p>
          <w:p>
            <w:pPr>
              <w:rPr>
                <w:rFonts w:ascii="宋体" w:hAnsi="宋体"/>
                <w:szCs w:val="21"/>
              </w:rPr>
            </w:pPr>
          </w:p>
        </w:tc>
        <w:tc>
          <w:tcPr>
            <w:tcW w:w="709" w:type="dxa"/>
            <w:tcBorders>
              <w:top w:val="single" w:color="auto" w:sz="4" w:space="0"/>
              <w:left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10分</w:t>
            </w:r>
          </w:p>
        </w:tc>
        <w:tc>
          <w:tcPr>
            <w:tcW w:w="2268" w:type="dxa"/>
            <w:tcBorders>
              <w:top w:val="single" w:color="auto" w:sz="4" w:space="0"/>
              <w:left w:val="single" w:color="auto" w:sz="4" w:space="0"/>
              <w:right w:val="single" w:color="auto" w:sz="4" w:space="0"/>
            </w:tcBorders>
            <w:noWrap w:val="0"/>
            <w:vAlign w:val="center"/>
          </w:tcPr>
          <w:p>
            <w:pPr>
              <w:rPr>
                <w:rFonts w:ascii="宋体" w:hAnsi="宋体"/>
                <w:szCs w:val="21"/>
              </w:rPr>
            </w:pPr>
            <w:r>
              <w:rPr>
                <w:rFonts w:hint="eastAsia" w:ascii="宋体" w:hAnsi="宋体"/>
                <w:szCs w:val="21"/>
              </w:rPr>
              <w:t>结合相关资料等查热工计算书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ascii="宋体" w:hAnsi="宋体"/>
                <w:szCs w:val="21"/>
              </w:rPr>
              <w:t>结构计算书</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工程所有的采光顶和金属屋面类型都应有结构计算书；</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计算内容应齐全完整不缺项，计算应有明确结论，计算结果满足工程设计要求；</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正确选择计算单元，对受力最不利的各个部位都应当计算；</w:t>
            </w:r>
          </w:p>
          <w:p>
            <w:pPr>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正确、合理选择计算参数（各种荷载及作用的参数及其组合，材料力学特性数值），采光顶玻璃的强度设计值应取受长期荷载作用下的数值；</w:t>
            </w:r>
          </w:p>
          <w:p>
            <w:pPr>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龙骨、面材、连接结构的计算模型应当与图纸及实际施工情况一致，真实、正确反映受力情况；</w:t>
            </w:r>
          </w:p>
          <w:p>
            <w:pPr>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大型金属屋面应计算屋面板、金属天沟因热胀冷缩产生的应力和位移；</w:t>
            </w:r>
          </w:p>
          <w:p>
            <w:pPr>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金属屋面应做抗风掀计算。直立锁边金属屋面的T型支座及其连接螺钉应做计算；</w:t>
            </w:r>
          </w:p>
          <w:p>
            <w:pPr>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大型采光顶和金属屋面应有建筑设计院给排水专业对汇水量、天沟水容量、水流速、虹吸排水量的计算分析；</w:t>
            </w:r>
          </w:p>
          <w:p>
            <w:pPr>
              <w:rPr>
                <w:rFonts w:ascii="宋体" w:hAnsi="宋体"/>
                <w:szCs w:val="21"/>
              </w:rPr>
            </w:pPr>
            <w:r>
              <w:rPr>
                <w:rFonts w:hint="eastAsia" w:ascii="宋体" w:hAnsi="宋体"/>
                <w:spacing w:val="-6"/>
                <w:szCs w:val="21"/>
              </w:rPr>
              <w:t>9</w:t>
            </w:r>
            <w:r>
              <w:rPr>
                <w:rFonts w:ascii="宋体" w:hAnsi="宋体"/>
                <w:spacing w:val="-6"/>
                <w:szCs w:val="21"/>
              </w:rPr>
              <w:t>.</w:t>
            </w:r>
            <w:r>
              <w:rPr>
                <w:rFonts w:hint="eastAsia" w:ascii="宋体" w:hAnsi="宋体"/>
                <w:spacing w:val="-6"/>
                <w:szCs w:val="21"/>
              </w:rPr>
              <w:t>有预应力索杆结构的，计算书应当提供对主体结构的拉力值，有主体结构设计单位出具的技术文件，确认主体结构能够承受索杆体系对主体结构的作用力；</w:t>
            </w:r>
          </w:p>
          <w:p>
            <w:pPr>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结构计算书审批签字手续应齐全，加盖设计计算单位的公章或出图章；</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1.无结构计算书的（扣15分）；</w:t>
            </w:r>
          </w:p>
          <w:p>
            <w:pPr>
              <w:rPr>
                <w:rFonts w:ascii="宋体" w:hAnsi="宋体"/>
                <w:szCs w:val="21"/>
              </w:rPr>
            </w:pPr>
            <w:r>
              <w:rPr>
                <w:rFonts w:hint="eastAsia" w:ascii="宋体" w:hAnsi="宋体"/>
                <w:szCs w:val="21"/>
              </w:rPr>
              <w:t>2.计算出现严重错误或计算结果不满足工程设计要求，使结构存在安全隐患（每项扣3-5分）；</w:t>
            </w:r>
          </w:p>
          <w:p>
            <w:pPr>
              <w:rPr>
                <w:rFonts w:ascii="宋体" w:hAnsi="宋体"/>
                <w:szCs w:val="21"/>
              </w:rPr>
            </w:pPr>
            <w:r>
              <w:rPr>
                <w:rFonts w:hint="eastAsia" w:ascii="宋体" w:hAnsi="宋体"/>
                <w:szCs w:val="21"/>
              </w:rPr>
              <w:t>3.缺两种及以上采光顶或金属屋面主要类型的结构计算书（每项扣1-3分）；</w:t>
            </w:r>
          </w:p>
          <w:p>
            <w:pPr>
              <w:rPr>
                <w:rFonts w:ascii="宋体" w:hAnsi="宋体"/>
                <w:szCs w:val="21"/>
              </w:rPr>
            </w:pPr>
            <w:r>
              <w:rPr>
                <w:rFonts w:hint="eastAsia" w:ascii="宋体" w:hAnsi="宋体"/>
                <w:szCs w:val="21"/>
              </w:rPr>
              <w:t>4.其它不符合要求或不合规情况（每项扣0.5-1分）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1.无任何结构计算书的；</w:t>
            </w:r>
          </w:p>
          <w:p>
            <w:pPr>
              <w:rPr>
                <w:rFonts w:ascii="宋体" w:hAnsi="宋体"/>
                <w:szCs w:val="21"/>
              </w:rPr>
            </w:pPr>
          </w:p>
          <w:p>
            <w:pPr>
              <w:rPr>
                <w:rFonts w:ascii="宋体" w:hAnsi="宋体"/>
                <w:szCs w:val="21"/>
              </w:rPr>
            </w:pPr>
            <w:r>
              <w:rPr>
                <w:rFonts w:hint="eastAsia" w:ascii="宋体" w:hAnsi="宋体"/>
                <w:szCs w:val="21"/>
              </w:rPr>
              <w:t>2.缺采光顶或金属屋面主要类型的结构计算书或计算结果出现严重错误的；</w:t>
            </w:r>
          </w:p>
          <w:p>
            <w:pPr>
              <w:rPr>
                <w:rFonts w:ascii="宋体" w:hAnsi="宋体"/>
                <w:szCs w:val="21"/>
              </w:rPr>
            </w:pPr>
          </w:p>
          <w:p>
            <w:pPr>
              <w:rPr>
                <w:rFonts w:ascii="宋体" w:hAnsi="宋体"/>
                <w:szCs w:val="21"/>
              </w:rPr>
            </w:pPr>
            <w:r>
              <w:rPr>
                <w:rFonts w:hint="eastAsia" w:ascii="宋体" w:hAnsi="宋体"/>
                <w:szCs w:val="21"/>
              </w:rPr>
              <w:t>3.存在其他不符合要求或不合规情况。</w:t>
            </w:r>
          </w:p>
        </w:tc>
        <w:tc>
          <w:tcPr>
            <w:tcW w:w="70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20分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查：结构计算书、技术资料等，结合工程实体。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ascii="宋体" w:hAnsi="宋体"/>
                <w:szCs w:val="21"/>
              </w:rPr>
              <w:t>竣工图纸</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1.竣工图内容应包括：目录、设计说明、平面图、立面图、剖面图、大样详图，节点图，构件图，型材截面图、预埋件或后置埋件图、排水组织图等；</w:t>
            </w:r>
          </w:p>
          <w:p>
            <w:pPr>
              <w:pStyle w:val="4"/>
              <w:ind w:firstLine="0" w:firstLineChars="0"/>
              <w:rPr>
                <w:rFonts w:ascii="宋体" w:hAnsi="宋体"/>
                <w:szCs w:val="21"/>
              </w:rPr>
            </w:pPr>
            <w:r>
              <w:rPr>
                <w:rFonts w:hint="eastAsia" w:ascii="宋体" w:hAnsi="宋体"/>
                <w:szCs w:val="21"/>
              </w:rPr>
              <w:t>2.设计说明应包括如下内容：工程概况、设计参数、设计依据、设计标准、设计范围、采光顶和金属屋面的类型及其设计构造、物理性能、热工性能、避雷防火说明、所用材料的材质规格、加工制作技术要求等。使用后置锚栓的，应当注明锚栓的拉拔力设计值；</w:t>
            </w:r>
          </w:p>
          <w:p>
            <w:pPr>
              <w:rPr>
                <w:rFonts w:ascii="宋体" w:hAnsi="宋体"/>
                <w:szCs w:val="21"/>
              </w:rPr>
            </w:pPr>
            <w:r>
              <w:rPr>
                <w:rFonts w:hint="eastAsia" w:ascii="宋体" w:hAnsi="宋体"/>
                <w:szCs w:val="21"/>
              </w:rPr>
              <w:t>3.设计应考虑排水、避雷、防火等措施。大型金属屋面还应考虑屋面板、金属天沟因热胀冷缩产生的应力和位移在构造上采取的措施。有防水要求的采光顶及金属屋面必须有完整的导排水措施，并在平面图及相关节点图表达；</w:t>
            </w:r>
          </w:p>
          <w:p>
            <w:pPr>
              <w:rPr>
                <w:rFonts w:ascii="宋体" w:hAnsi="宋体"/>
                <w:szCs w:val="21"/>
              </w:rPr>
            </w:pPr>
            <w:r>
              <w:rPr>
                <w:rFonts w:hint="eastAsia" w:ascii="宋体" w:hAnsi="宋体"/>
                <w:szCs w:val="21"/>
              </w:rPr>
              <w:t>4.节点图应包括各系统的典型节点、与主体结构连接节点、天沟节点、溢流口节点、檐口节点、通风口检修口排烟窗与金属屋面交接封口节点、金属屋面与山墙交接节点、金属屋面与采光顶交接节点、变形缝节点等；</w:t>
            </w:r>
          </w:p>
          <w:p>
            <w:pPr>
              <w:rPr>
                <w:rFonts w:ascii="宋体" w:hAnsi="宋体"/>
                <w:szCs w:val="21"/>
              </w:rPr>
            </w:pPr>
            <w:r>
              <w:rPr>
                <w:rFonts w:hint="eastAsia" w:ascii="宋体" w:hAnsi="宋体"/>
                <w:szCs w:val="21"/>
              </w:rPr>
              <w:t>5.图纸应正确完整、字迹图形清晰，审批手续齐全并盖有设计单位出图章和施工单位竣工图章；</w:t>
            </w:r>
          </w:p>
          <w:p>
            <w:pPr>
              <w:rPr>
                <w:rFonts w:ascii="宋体" w:hAnsi="宋体"/>
                <w:szCs w:val="21"/>
              </w:rPr>
            </w:pPr>
            <w:r>
              <w:rPr>
                <w:rFonts w:hint="eastAsia" w:ascii="宋体" w:hAnsi="宋体"/>
                <w:szCs w:val="21"/>
              </w:rPr>
              <w:t>6.设计（包括性能、节点构造、使用材料）应符合相关标准和规范的要求，符合原建筑设计的要求；</w:t>
            </w:r>
          </w:p>
          <w:p>
            <w:pPr>
              <w:rPr>
                <w:rFonts w:ascii="宋体" w:hAnsi="宋体"/>
                <w:szCs w:val="21"/>
              </w:rPr>
            </w:pPr>
            <w:r>
              <w:rPr>
                <w:rFonts w:hint="eastAsia" w:ascii="宋体" w:hAnsi="宋体"/>
                <w:szCs w:val="21"/>
              </w:rPr>
              <w:t>7.玻璃采光顶采用隐框或半隐框做法的，应标注结构胶宽度及厚度尺寸；</w:t>
            </w:r>
          </w:p>
          <w:p>
            <w:pPr>
              <w:rPr>
                <w:rFonts w:ascii="宋体" w:hAnsi="宋体"/>
                <w:szCs w:val="21"/>
              </w:rPr>
            </w:pPr>
            <w:r>
              <w:rPr>
                <w:rFonts w:hint="eastAsia" w:ascii="宋体" w:hAnsi="宋体"/>
                <w:szCs w:val="21"/>
              </w:rPr>
              <w:t>8.寒冷和严寒地区的采光顶和金属屋面节点构造中不得有明显冷桥；</w:t>
            </w:r>
          </w:p>
          <w:p>
            <w:pPr>
              <w:rPr>
                <w:rFonts w:hint="eastAsia" w:ascii="宋体" w:hAnsi="宋体"/>
                <w:szCs w:val="21"/>
              </w:rPr>
            </w:pPr>
            <w:r>
              <w:rPr>
                <w:rFonts w:hint="eastAsia" w:ascii="宋体" w:hAnsi="宋体"/>
                <w:szCs w:val="21"/>
              </w:rPr>
              <w:t>9.旧改工程，应当有主体结构设计单位对采光顶和金属屋面工程图纸进行受力复核，审核确认采光顶和金属屋面对主体结构作用力在其可承受范围内；</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竣工图没有设计说明或说明不符合要求的（每项扣1-3分）；</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缺两种及以上主要结构构造类型的竣工图（每项扣3-5分）；</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其它不符合要求或不合规情况（每项扣0.5-2分）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竣工图没有设计说明；</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竣工图缺两处以上重要结构构造的；</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竣工图与工程实体符合性。</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15分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ascii="宋体" w:hAnsi="宋体"/>
                <w:szCs w:val="21"/>
              </w:rPr>
              <w:t>查：竣工图纸，结合工程实体。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0" w:hRule="atLeast"/>
        </w:trPr>
        <w:tc>
          <w:tcPr>
            <w:tcW w:w="567" w:type="dxa"/>
            <w:tcBorders>
              <w:top w:val="single" w:color="auto" w:sz="4" w:space="0"/>
              <w:left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5</w:t>
            </w:r>
          </w:p>
        </w:tc>
        <w:tc>
          <w:tcPr>
            <w:tcW w:w="1276" w:type="dxa"/>
            <w:tcBorders>
              <w:top w:val="single" w:color="auto" w:sz="4" w:space="0"/>
              <w:left w:val="single" w:color="auto" w:sz="4" w:space="0"/>
              <w:right w:val="single" w:color="auto" w:sz="4" w:space="0"/>
            </w:tcBorders>
            <w:noWrap w:val="0"/>
            <w:vAlign w:val="center"/>
          </w:tcPr>
          <w:p>
            <w:pPr>
              <w:rPr>
                <w:rFonts w:ascii="宋体" w:hAnsi="宋体"/>
                <w:szCs w:val="21"/>
              </w:rPr>
            </w:pPr>
            <w:r>
              <w:rPr>
                <w:rFonts w:ascii="宋体" w:hAnsi="宋体"/>
                <w:szCs w:val="21"/>
              </w:rPr>
              <w:t>工程实体</w:t>
            </w:r>
          </w:p>
        </w:tc>
        <w:tc>
          <w:tcPr>
            <w:tcW w:w="5103" w:type="dxa"/>
            <w:tcBorders>
              <w:top w:val="single" w:color="auto" w:sz="4" w:space="0"/>
              <w:left w:val="single" w:color="auto" w:sz="4" w:space="0"/>
              <w:right w:val="single" w:color="auto" w:sz="4" w:space="0"/>
            </w:tcBorders>
            <w:noWrap w:val="0"/>
            <w:vAlign w:val="center"/>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工程现场实际的构造做法、使用的材料应当与设计图一致，按图施工；</w:t>
            </w:r>
          </w:p>
          <w:p>
            <w:pPr>
              <w:rPr>
                <w:rFonts w:ascii="宋体" w:hAnsi="宋体"/>
                <w:szCs w:val="21"/>
              </w:rPr>
            </w:pPr>
            <w:r>
              <w:rPr>
                <w:rFonts w:hint="eastAsia" w:ascii="宋体" w:hAnsi="宋体"/>
                <w:bCs/>
                <w:szCs w:val="21"/>
              </w:rPr>
              <w:t>2</w:t>
            </w:r>
            <w:r>
              <w:rPr>
                <w:rFonts w:ascii="宋体" w:hAnsi="宋体"/>
                <w:bCs/>
                <w:szCs w:val="21"/>
              </w:rPr>
              <w:t>.</w:t>
            </w:r>
            <w:r>
              <w:rPr>
                <w:rFonts w:hint="eastAsia" w:ascii="宋体" w:hAnsi="宋体"/>
                <w:bCs/>
                <w:szCs w:val="21"/>
              </w:rPr>
              <w:t>整体的外观质量应符合要求。面板平整干净无污染、无破损，胶缝整齐密封良好，造型顺滑协调，收口密封严密；</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外露钢件无严重锈蚀，各连接固定件无松动或脱落，胶条密封良好；</w:t>
            </w:r>
          </w:p>
          <w:p>
            <w:pPr>
              <w:rPr>
                <w:rFonts w:ascii="宋体" w:hAnsi="宋体"/>
                <w:szCs w:val="21"/>
              </w:rPr>
            </w:pPr>
            <w:r>
              <w:rPr>
                <w:rFonts w:hint="eastAsia" w:ascii="宋体" w:hAnsi="宋体"/>
                <w:szCs w:val="21"/>
              </w:rPr>
              <w:t>4．直立锁边屋面板的咬合方向应符合标准要求，咬合紧密且连续平整，不应出现扭曲和裂口，不应有大的形状变化（凹凸现象），直立锁边屋面板与T型支座之间不得有磨穿点；</w:t>
            </w:r>
          </w:p>
          <w:p>
            <w:pPr>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采光顶、金属屋面无漏水现象，排水天沟及落水口、溢流口无堵塞现象；</w:t>
            </w:r>
          </w:p>
          <w:p>
            <w:pPr>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大型金属屋面上，避雷导线安装符合设计要求；</w:t>
            </w:r>
          </w:p>
          <w:p>
            <w:pPr>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工程无安全隐患；</w:t>
            </w:r>
          </w:p>
          <w:p>
            <w:pPr>
              <w:rPr>
                <w:rFonts w:ascii="宋体" w:hAnsi="宋体"/>
                <w:szCs w:val="21"/>
              </w:rPr>
            </w:pPr>
            <w:r>
              <w:rPr>
                <w:rFonts w:ascii="宋体" w:hAnsi="宋体"/>
                <w:szCs w:val="21"/>
              </w:rPr>
              <w:t>8.</w:t>
            </w:r>
            <w:r>
              <w:rPr>
                <w:rFonts w:hint="eastAsia" w:ascii="宋体" w:hAnsi="宋体"/>
                <w:szCs w:val="21"/>
              </w:rPr>
              <w:t>构造上应安全可靠，应符合《关于淘汰建筑幕墙落后产品和技术的指导意见》（中装协[2016]89号）文件的要求；</w:t>
            </w:r>
          </w:p>
          <w:p>
            <w:pPr>
              <w:rPr>
                <w:rFonts w:ascii="宋体" w:hAnsi="宋体"/>
                <w:szCs w:val="21"/>
              </w:rPr>
            </w:pPr>
            <w:r>
              <w:rPr>
                <w:rFonts w:ascii="宋体" w:hAnsi="宋体"/>
                <w:szCs w:val="21"/>
              </w:rPr>
              <w:t>9.</w:t>
            </w:r>
            <w:r>
              <w:rPr>
                <w:rFonts w:hint="eastAsia" w:ascii="宋体" w:hAnsi="宋体"/>
                <w:szCs w:val="21"/>
              </w:rPr>
              <w:t>应符合《关于进一步加强玻璃幕墙安全防护工作的通知》（建标[2015]38号）文件的要求。</w:t>
            </w:r>
          </w:p>
        </w:tc>
        <w:tc>
          <w:tcPr>
            <w:tcW w:w="2410" w:type="dxa"/>
            <w:tcBorders>
              <w:top w:val="single" w:color="auto" w:sz="4" w:space="0"/>
              <w:left w:val="single" w:color="auto" w:sz="4" w:space="0"/>
              <w:right w:val="single" w:color="auto" w:sz="4" w:space="0"/>
            </w:tcBorders>
            <w:noWrap w:val="0"/>
            <w:vAlign w:val="center"/>
          </w:tcPr>
          <w:p>
            <w:pPr>
              <w:rPr>
                <w:rFonts w:ascii="宋体" w:hAnsi="宋体"/>
                <w:szCs w:val="21"/>
              </w:rPr>
            </w:pPr>
            <w:r>
              <w:rPr>
                <w:rFonts w:hint="eastAsia" w:ascii="宋体" w:hAnsi="宋体"/>
                <w:szCs w:val="21"/>
              </w:rPr>
              <w:t>1.未按住建部建标[2015]38号文件或中装协[2016]89号文件要求设计、施工的（扣20分）；</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设计的结构构造存在严重的安全隐患或严重的质量问题（扣5-10分）；</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工程有严重漏水现象或其它较大质量问题（每项扣5-10分）；</w:t>
            </w:r>
          </w:p>
          <w:p>
            <w:pPr>
              <w:rPr>
                <w:rFonts w:ascii="宋体" w:hAnsi="宋体"/>
                <w:szCs w:val="21"/>
              </w:rPr>
            </w:pPr>
            <w:r>
              <w:rPr>
                <w:rFonts w:hint="eastAsia" w:ascii="宋体" w:hAnsi="宋体"/>
                <w:szCs w:val="21"/>
              </w:rPr>
              <w:t>工程存在较大安全隐患（每项扣5-10分）；</w:t>
            </w:r>
          </w:p>
          <w:p>
            <w:pPr>
              <w:rPr>
                <w:rFonts w:ascii="宋体" w:hAnsi="宋体"/>
                <w:b/>
                <w:szCs w:val="21"/>
              </w:rPr>
            </w:pPr>
            <w:r>
              <w:rPr>
                <w:rFonts w:hint="eastAsia" w:ascii="宋体" w:hAnsi="宋体"/>
                <w:szCs w:val="21"/>
              </w:rPr>
              <w:t>4</w:t>
            </w:r>
            <w:r>
              <w:rPr>
                <w:rFonts w:ascii="宋体" w:hAnsi="宋体"/>
                <w:szCs w:val="21"/>
              </w:rPr>
              <w:t>.</w:t>
            </w:r>
            <w:r>
              <w:rPr>
                <w:rFonts w:hint="eastAsia" w:ascii="宋体" w:hAnsi="宋体"/>
                <w:szCs w:val="21"/>
              </w:rPr>
              <w:t>其它不符合要求或不合规情况（每项扣0.5-2分）。</w:t>
            </w:r>
          </w:p>
        </w:tc>
        <w:tc>
          <w:tcPr>
            <w:tcW w:w="1701" w:type="dxa"/>
            <w:tcBorders>
              <w:top w:val="single" w:color="auto" w:sz="4" w:space="0"/>
              <w:left w:val="single" w:color="auto" w:sz="4" w:space="0"/>
              <w:right w:val="single" w:color="auto" w:sz="4" w:space="0"/>
            </w:tcBorders>
            <w:noWrap w:val="0"/>
            <w:vAlign w:val="center"/>
          </w:tcPr>
          <w:p>
            <w:pPr>
              <w:rPr>
                <w:rFonts w:ascii="宋体" w:hAnsi="宋体"/>
                <w:szCs w:val="21"/>
              </w:rPr>
            </w:pPr>
            <w:r>
              <w:rPr>
                <w:rFonts w:hint="eastAsia" w:ascii="宋体" w:hAnsi="宋体"/>
                <w:szCs w:val="21"/>
              </w:rPr>
              <w:t>工程实体外观质量及整体效果；</w:t>
            </w:r>
          </w:p>
          <w:p>
            <w:pPr>
              <w:rPr>
                <w:rFonts w:ascii="宋体" w:hAnsi="宋体"/>
                <w:szCs w:val="21"/>
              </w:rPr>
            </w:pPr>
            <w:r>
              <w:rPr>
                <w:rFonts w:hint="eastAsia" w:ascii="宋体" w:hAnsi="宋体"/>
                <w:szCs w:val="21"/>
              </w:rPr>
              <w:t>做工精细程度及材料质量；</w:t>
            </w:r>
          </w:p>
          <w:p>
            <w:pPr>
              <w:rPr>
                <w:rFonts w:ascii="宋体" w:hAnsi="宋体"/>
                <w:szCs w:val="21"/>
              </w:rPr>
            </w:pPr>
            <w:r>
              <w:rPr>
                <w:rFonts w:hint="eastAsia" w:ascii="宋体" w:hAnsi="宋体"/>
                <w:szCs w:val="21"/>
              </w:rPr>
              <w:t>高寒、台风等特殊气候地区的应对措施</w:t>
            </w:r>
          </w:p>
          <w:p>
            <w:pPr>
              <w:rPr>
                <w:rFonts w:ascii="宋体" w:hAnsi="宋体"/>
                <w:szCs w:val="21"/>
              </w:rPr>
            </w:pPr>
          </w:p>
          <w:p>
            <w:pPr>
              <w:rPr>
                <w:rFonts w:ascii="宋体" w:hAnsi="宋体"/>
                <w:szCs w:val="21"/>
              </w:rPr>
            </w:pPr>
            <w:r>
              <w:rPr>
                <w:rFonts w:hint="eastAsia" w:ascii="宋体" w:hAnsi="宋体"/>
                <w:szCs w:val="21"/>
              </w:rPr>
              <w:t>工程实体与设计图、竣工图、质量管理资料的符合性；</w:t>
            </w:r>
          </w:p>
        </w:tc>
        <w:tc>
          <w:tcPr>
            <w:tcW w:w="709" w:type="dxa"/>
            <w:tcBorders>
              <w:top w:val="single" w:color="auto" w:sz="4" w:space="0"/>
              <w:left w:val="single" w:color="auto" w:sz="4" w:space="0"/>
              <w:right w:val="single" w:color="auto" w:sz="4" w:space="0"/>
            </w:tcBorders>
            <w:noWrap w:val="0"/>
            <w:vAlign w:val="center"/>
          </w:tcPr>
          <w:p>
            <w:pPr>
              <w:rPr>
                <w:rFonts w:ascii="宋体" w:hAnsi="宋体"/>
                <w:szCs w:val="21"/>
              </w:rPr>
            </w:pPr>
            <w:r>
              <w:rPr>
                <w:rFonts w:hint="eastAsia" w:ascii="宋体" w:hAnsi="宋体"/>
                <w:szCs w:val="21"/>
              </w:rPr>
              <w:t>20分</w:t>
            </w:r>
          </w:p>
        </w:tc>
        <w:tc>
          <w:tcPr>
            <w:tcW w:w="2268" w:type="dxa"/>
            <w:tcBorders>
              <w:top w:val="single" w:color="auto" w:sz="4" w:space="0"/>
              <w:left w:val="single" w:color="auto" w:sz="4" w:space="0"/>
              <w:right w:val="single" w:color="auto" w:sz="4" w:space="0"/>
            </w:tcBorders>
            <w:noWrap w:val="0"/>
            <w:vAlign w:val="center"/>
          </w:tcPr>
          <w:p>
            <w:pPr>
              <w:rPr>
                <w:rFonts w:ascii="宋体" w:hAnsi="宋体"/>
                <w:szCs w:val="21"/>
              </w:rPr>
            </w:pPr>
            <w:r>
              <w:rPr>
                <w:rFonts w:hint="eastAsia" w:ascii="宋体" w:hAnsi="宋体"/>
                <w:szCs w:val="21"/>
              </w:rPr>
              <w:t>查：工程实体，结合图纸、质量管理资料等。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ascii="宋体" w:hAnsi="宋体"/>
                <w:szCs w:val="21"/>
              </w:rPr>
              <w:t>新技术</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有创新或采用了新技术、新材料、新工艺、新工法或有利于节能环保等的材料、技术、措施、工艺、工法等；</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获得了与申报工程相关的发明专利、实用新型专利；</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申报项目拥有省级或以上工艺工法等；</w:t>
            </w:r>
          </w:p>
          <w:p>
            <w:pPr>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本工程已获得中装协建筑装饰行业科学技术奖。</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ascii="宋体" w:hAnsi="宋体"/>
                <w:szCs w:val="21"/>
              </w:rPr>
              <w:t>缺少其中内容，扣</w:t>
            </w:r>
            <w:r>
              <w:rPr>
                <w:rFonts w:hint="eastAsia" w:ascii="宋体" w:hAnsi="宋体"/>
                <w:szCs w:val="21"/>
              </w:rPr>
              <w:t>0.5-3分。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ascii="宋体" w:hAnsi="宋体"/>
                <w:szCs w:val="21"/>
              </w:rPr>
              <w:t>无新技术、新材料应用或科技创新的应扣分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ascii="宋体" w:hAnsi="宋体"/>
                <w:szCs w:val="21"/>
              </w:rPr>
              <w:t>查：工程实体、图纸、质量管理与技术资料等。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ascii="宋体" w:hAnsi="宋体"/>
                <w:szCs w:val="21"/>
              </w:rPr>
              <w:t>总体印象</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组织工作准备充分，人员到位（项目经理或执行经理、技术负责人或设计施工人员和资料员等相关人员应到场），汇报PPT内容重点突出、简单明了；</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资料准备充分有序，易于查找；</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用户沟通意见；</w:t>
            </w:r>
          </w:p>
          <w:p>
            <w:pPr>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工程实体检查顺畅不受阻。</w:t>
            </w:r>
          </w:p>
          <w:p>
            <w:pPr>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幕墙装配化使用情况。</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1.工程施工主要负责人均未到场（扣1-2分）；</w:t>
            </w:r>
          </w:p>
          <w:p>
            <w:pPr>
              <w:rPr>
                <w:rFonts w:ascii="宋体" w:hAnsi="宋体"/>
                <w:szCs w:val="21"/>
              </w:rPr>
            </w:pPr>
            <w:r>
              <w:rPr>
                <w:rFonts w:hint="eastAsia" w:ascii="宋体" w:hAnsi="宋体"/>
                <w:szCs w:val="21"/>
              </w:rPr>
              <w:t>2.</w:t>
            </w:r>
            <w:r>
              <w:rPr>
                <w:rFonts w:ascii="宋体" w:hAnsi="宋体"/>
                <w:szCs w:val="21"/>
              </w:rPr>
              <w:t>资料准备无序不齐全（扣</w:t>
            </w:r>
            <w:r>
              <w:rPr>
                <w:rFonts w:hint="eastAsia" w:ascii="宋体" w:hAnsi="宋体"/>
                <w:szCs w:val="21"/>
              </w:rPr>
              <w:t>1-2分</w:t>
            </w:r>
            <w:r>
              <w:rPr>
                <w:rFonts w:ascii="宋体" w:hAnsi="宋体"/>
                <w:szCs w:val="21"/>
              </w:rPr>
              <w:t>）；</w:t>
            </w:r>
          </w:p>
          <w:p>
            <w:pPr>
              <w:rPr>
                <w:rFonts w:ascii="宋体" w:hAnsi="宋体"/>
                <w:szCs w:val="21"/>
              </w:rPr>
            </w:pPr>
            <w:r>
              <w:rPr>
                <w:rFonts w:hint="eastAsia" w:ascii="宋体" w:hAnsi="宋体"/>
                <w:szCs w:val="21"/>
              </w:rPr>
              <w:t>3.总体印象不佳（扣1-5分）；</w:t>
            </w:r>
          </w:p>
          <w:p>
            <w:pPr>
              <w:rPr>
                <w:rFonts w:ascii="宋体" w:hAnsi="宋体"/>
                <w:szCs w:val="21"/>
              </w:rPr>
            </w:pPr>
            <w:r>
              <w:rPr>
                <w:rFonts w:hint="eastAsia" w:ascii="宋体" w:hAnsi="宋体"/>
                <w:szCs w:val="21"/>
              </w:rPr>
              <w:t>4.其它不规范、不到位情况（每项扣0.5-1分）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人员、资料、过程安排准备不足；未做PPT汇报资料等</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查：</w:t>
            </w:r>
          </w:p>
          <w:p>
            <w:pPr>
              <w:rPr>
                <w:rFonts w:ascii="宋体" w:hAnsi="宋体"/>
                <w:szCs w:val="21"/>
              </w:rPr>
            </w:pPr>
            <w:r>
              <w:rPr>
                <w:rFonts w:hint="eastAsia" w:ascii="宋体" w:hAnsi="宋体"/>
                <w:szCs w:val="21"/>
              </w:rPr>
              <w:t>1.组织准备情况；</w:t>
            </w:r>
          </w:p>
          <w:p>
            <w:pPr>
              <w:rPr>
                <w:rFonts w:ascii="宋体" w:hAnsi="宋体"/>
                <w:szCs w:val="21"/>
              </w:rPr>
            </w:pPr>
            <w:r>
              <w:rPr>
                <w:rFonts w:hint="eastAsia" w:ascii="宋体" w:hAnsi="宋体"/>
                <w:szCs w:val="21"/>
              </w:rPr>
              <w:t>2.PPT（项目概况、施工范围、重点难点亮点、施工过程中情况图片等，汇报时间10分钟内）；</w:t>
            </w:r>
          </w:p>
          <w:p>
            <w:pPr>
              <w:rPr>
                <w:rFonts w:ascii="宋体" w:hAnsi="宋体"/>
                <w:szCs w:val="21"/>
              </w:rPr>
            </w:pPr>
            <w:r>
              <w:rPr>
                <w:rFonts w:hint="eastAsia" w:ascii="宋体" w:hAnsi="宋体"/>
                <w:szCs w:val="21"/>
              </w:rPr>
              <w:t>3.用户意见等。</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BADA9"/>
    <w:multiLevelType w:val="singleLevel"/>
    <w:tmpl w:val="FA7BADA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zQ3YzU1NjY3ODVhZmZlOWNmMzYyM2Q5NzNiNTMifQ=="/>
  </w:docVars>
  <w:rsids>
    <w:rsidRoot w:val="4BB85FAD"/>
    <w:rsid w:val="4BB85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2024-03-12T10:56:00Z</dcterms:created>
  <dc:creator>李艳</dc:creator>
  <cp:lastModifiedBy>李艳</cp:lastModifiedBy>
  <dcterms:modified xsi:type="dcterms:W3CDTF">2024-03-12T10:57:07Z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CAD26B0DD0E54A3E8870F1307111F91B_11</vt:lpwstr>
  </property>
</Properties>
</file>